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5.xml" ContentType="application/vnd.openxmlformats-officedocument.drawingml.chartshapes+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8.xml" ContentType="application/vnd.openxmlformats-officedocument.themeOverrid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9.xml" ContentType="application/vnd.openxmlformats-officedocument.themeOverrid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0.xml" ContentType="application/vnd.openxmlformats-officedocument.themeOverrid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theme/themeOverride11.xml" ContentType="application/vnd.openxmlformats-officedocument.themeOverride+xml"/>
  <Override PartName="/word/charts/chart19.xml" ContentType="application/vnd.openxmlformats-officedocument.drawingml.chart+xml"/>
  <Override PartName="/word/theme/themeOverride12.xml" ContentType="application/vnd.openxmlformats-officedocument.themeOverride+xml"/>
  <Override PartName="/word/charts/chart20.xml" ContentType="application/vnd.openxmlformats-officedocument.drawingml.chart+xml"/>
  <Override PartName="/word/theme/themeOverride13.xml" ContentType="application/vnd.openxmlformats-officedocument.themeOverride+xml"/>
  <Override PartName="/word/charts/chart21.xml" ContentType="application/vnd.openxmlformats-officedocument.drawingml.chart+xml"/>
  <Override PartName="/word/theme/themeOverride14.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Y="-178"/>
        <w:tblW w:w="9871" w:type="dxa"/>
        <w:tblLook w:val="04A0" w:firstRow="1" w:lastRow="0" w:firstColumn="1" w:lastColumn="0" w:noHBand="0" w:noVBand="1"/>
      </w:tblPr>
      <w:tblGrid>
        <w:gridCol w:w="5328"/>
        <w:gridCol w:w="4543"/>
      </w:tblGrid>
      <w:tr w:rsidR="00313583" w:rsidRPr="00B369F9" w:rsidTr="00725BD7">
        <w:tc>
          <w:tcPr>
            <w:tcW w:w="5328" w:type="dxa"/>
          </w:tcPr>
          <w:p w:rsidR="00313583" w:rsidRPr="0040033A" w:rsidRDefault="00313583" w:rsidP="007C7C02">
            <w:pPr>
              <w:spacing w:after="0" w:line="240" w:lineRule="auto"/>
              <w:rPr>
                <w:rFonts w:ascii="Times New Roman" w:hAnsi="Times New Roman" w:cs="Times New Roman"/>
                <w:b/>
                <w:sz w:val="24"/>
                <w:szCs w:val="24"/>
                <w:lang w:val="en-US"/>
              </w:rPr>
            </w:pPr>
            <w:bookmarkStart w:id="0" w:name="_Toc473537008"/>
          </w:p>
        </w:tc>
        <w:tc>
          <w:tcPr>
            <w:tcW w:w="4543" w:type="dxa"/>
          </w:tcPr>
          <w:p w:rsidR="00313583" w:rsidRPr="00B369F9" w:rsidRDefault="00313583" w:rsidP="007C7C02">
            <w:pPr>
              <w:spacing w:after="0" w:line="240" w:lineRule="auto"/>
              <w:rPr>
                <w:rFonts w:ascii="Times New Roman" w:hAnsi="Times New Roman" w:cs="Times New Roman"/>
                <w:b/>
                <w:sz w:val="24"/>
                <w:szCs w:val="24"/>
              </w:rPr>
            </w:pPr>
          </w:p>
        </w:tc>
      </w:tr>
    </w:tbl>
    <w:p w:rsidR="00896F55" w:rsidRPr="00B369F9" w:rsidRDefault="00896F55" w:rsidP="00896F55">
      <w:pPr>
        <w:spacing w:after="0" w:line="240" w:lineRule="auto"/>
        <w:jc w:val="right"/>
        <w:rPr>
          <w:rFonts w:ascii="Times New Roman" w:hAnsi="Times New Roman" w:cs="Times New Roman"/>
          <w:b/>
          <w:noProof/>
          <w:sz w:val="24"/>
          <w:szCs w:val="24"/>
          <w:lang w:eastAsia="ru-RU"/>
        </w:rPr>
      </w:pPr>
      <w:r w:rsidRPr="00B369F9">
        <w:rPr>
          <w:rFonts w:ascii="Times New Roman" w:hAnsi="Times New Roman" w:cs="Times New Roman"/>
          <w:b/>
          <w:noProof/>
          <w:sz w:val="24"/>
          <w:szCs w:val="24"/>
          <w:lang w:eastAsia="ru-RU"/>
        </w:rPr>
        <w:t xml:space="preserve">Утвержден: </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решением годового Общего собрания </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акционеров АО «Чеченэнерго» __.__.202</w:t>
      </w:r>
      <w:r w:rsidR="004526F6" w:rsidRPr="00B369F9">
        <w:rPr>
          <w:rFonts w:ascii="Times New Roman" w:hAnsi="Times New Roman" w:cs="Times New Roman"/>
          <w:noProof/>
          <w:sz w:val="24"/>
          <w:szCs w:val="24"/>
          <w:lang w:eastAsia="ru-RU"/>
        </w:rPr>
        <w:t>4</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 (протокол от __.__.202</w:t>
      </w:r>
      <w:r w:rsidR="004526F6" w:rsidRPr="00B369F9">
        <w:rPr>
          <w:rFonts w:ascii="Times New Roman" w:hAnsi="Times New Roman" w:cs="Times New Roman"/>
          <w:noProof/>
          <w:sz w:val="24"/>
          <w:szCs w:val="24"/>
          <w:lang w:eastAsia="ru-RU"/>
        </w:rPr>
        <w:t>4</w:t>
      </w:r>
      <w:r w:rsidRPr="00B369F9">
        <w:rPr>
          <w:rFonts w:ascii="Times New Roman" w:hAnsi="Times New Roman" w:cs="Times New Roman"/>
          <w:noProof/>
          <w:sz w:val="24"/>
          <w:szCs w:val="24"/>
          <w:lang w:eastAsia="ru-RU"/>
        </w:rPr>
        <w:t xml:space="preserve"> № </w:t>
      </w:r>
      <w:r w:rsidRPr="00B369F9">
        <w:rPr>
          <w:rFonts w:ascii="Times New Roman" w:hAnsi="Times New Roman" w:cs="Times New Roman"/>
          <w:b/>
          <w:noProof/>
          <w:sz w:val="24"/>
          <w:szCs w:val="24"/>
          <w:lang w:eastAsia="ru-RU"/>
        </w:rPr>
        <w:t>____</w:t>
      </w:r>
      <w:r w:rsidRPr="00B369F9">
        <w:rPr>
          <w:rFonts w:ascii="Times New Roman" w:hAnsi="Times New Roman" w:cs="Times New Roman"/>
          <w:noProof/>
          <w:sz w:val="24"/>
          <w:szCs w:val="24"/>
          <w:lang w:eastAsia="ru-RU"/>
        </w:rPr>
        <w:t>)</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p>
    <w:p w:rsidR="00896F55" w:rsidRPr="00B369F9" w:rsidRDefault="00896F55" w:rsidP="00896F55">
      <w:pPr>
        <w:spacing w:after="0" w:line="240" w:lineRule="auto"/>
        <w:jc w:val="right"/>
        <w:rPr>
          <w:rFonts w:ascii="Times New Roman" w:hAnsi="Times New Roman" w:cs="Times New Roman"/>
          <w:b/>
          <w:noProof/>
          <w:sz w:val="24"/>
          <w:szCs w:val="24"/>
          <w:lang w:eastAsia="ru-RU"/>
        </w:rPr>
      </w:pPr>
      <w:r w:rsidRPr="00B369F9">
        <w:rPr>
          <w:rFonts w:ascii="Times New Roman" w:hAnsi="Times New Roman" w:cs="Times New Roman"/>
          <w:b/>
          <w:noProof/>
          <w:sz w:val="24"/>
          <w:szCs w:val="24"/>
          <w:lang w:eastAsia="ru-RU"/>
        </w:rPr>
        <w:t xml:space="preserve">Предварительно утвержден: </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решением Совета директоров </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АО «Чеченэнерго» </w:t>
      </w:r>
      <w:r w:rsidR="00B63EFD">
        <w:rPr>
          <w:rFonts w:ascii="Times New Roman" w:hAnsi="Times New Roman" w:cs="Times New Roman"/>
          <w:noProof/>
          <w:sz w:val="24"/>
          <w:szCs w:val="24"/>
          <w:lang w:eastAsia="ru-RU"/>
        </w:rPr>
        <w:t>26</w:t>
      </w:r>
      <w:r w:rsidRPr="00B369F9">
        <w:rPr>
          <w:rFonts w:ascii="Times New Roman" w:hAnsi="Times New Roman" w:cs="Times New Roman"/>
          <w:noProof/>
          <w:sz w:val="24"/>
          <w:szCs w:val="24"/>
          <w:lang w:eastAsia="ru-RU"/>
        </w:rPr>
        <w:t>.</w:t>
      </w:r>
      <w:r w:rsidR="00B63EFD">
        <w:rPr>
          <w:rFonts w:ascii="Times New Roman" w:hAnsi="Times New Roman" w:cs="Times New Roman"/>
          <w:noProof/>
          <w:sz w:val="24"/>
          <w:szCs w:val="24"/>
          <w:lang w:eastAsia="ru-RU"/>
        </w:rPr>
        <w:t>04.</w:t>
      </w:r>
      <w:r w:rsidRPr="00B369F9">
        <w:rPr>
          <w:rFonts w:ascii="Times New Roman" w:hAnsi="Times New Roman" w:cs="Times New Roman"/>
          <w:noProof/>
          <w:sz w:val="24"/>
          <w:szCs w:val="24"/>
          <w:lang w:eastAsia="ru-RU"/>
        </w:rPr>
        <w:t>202</w:t>
      </w:r>
      <w:r w:rsidR="004526F6" w:rsidRPr="00B369F9">
        <w:rPr>
          <w:rFonts w:ascii="Times New Roman" w:hAnsi="Times New Roman" w:cs="Times New Roman"/>
          <w:noProof/>
          <w:sz w:val="24"/>
          <w:szCs w:val="24"/>
          <w:lang w:eastAsia="ru-RU"/>
        </w:rPr>
        <w:t>4</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(протокол от </w:t>
      </w:r>
      <w:r w:rsidR="00B63EFD" w:rsidRPr="00B63EFD">
        <w:rPr>
          <w:rFonts w:ascii="Times New Roman" w:hAnsi="Times New Roman" w:cs="Times New Roman"/>
          <w:noProof/>
          <w:sz w:val="24"/>
          <w:szCs w:val="24"/>
          <w:lang w:eastAsia="ru-RU"/>
        </w:rPr>
        <w:t>26.04.</w:t>
      </w:r>
      <w:r w:rsidRPr="00B369F9">
        <w:rPr>
          <w:rFonts w:ascii="Times New Roman" w:hAnsi="Times New Roman" w:cs="Times New Roman"/>
          <w:noProof/>
          <w:sz w:val="24"/>
          <w:szCs w:val="24"/>
          <w:lang w:eastAsia="ru-RU"/>
        </w:rPr>
        <w:t>202</w:t>
      </w:r>
      <w:r w:rsidR="004526F6" w:rsidRPr="00B369F9">
        <w:rPr>
          <w:rFonts w:ascii="Times New Roman" w:hAnsi="Times New Roman" w:cs="Times New Roman"/>
          <w:noProof/>
          <w:sz w:val="24"/>
          <w:szCs w:val="24"/>
          <w:lang w:eastAsia="ru-RU"/>
        </w:rPr>
        <w:t>4</w:t>
      </w:r>
      <w:r w:rsidRPr="00B369F9">
        <w:rPr>
          <w:rFonts w:ascii="Times New Roman" w:hAnsi="Times New Roman" w:cs="Times New Roman"/>
          <w:noProof/>
          <w:sz w:val="24"/>
          <w:szCs w:val="24"/>
          <w:lang w:eastAsia="ru-RU"/>
        </w:rPr>
        <w:t xml:space="preserve"> № </w:t>
      </w:r>
      <w:r w:rsidR="00B63EFD">
        <w:rPr>
          <w:rFonts w:ascii="Times New Roman" w:hAnsi="Times New Roman" w:cs="Times New Roman"/>
          <w:noProof/>
          <w:sz w:val="24"/>
          <w:szCs w:val="24"/>
          <w:lang w:eastAsia="ru-RU"/>
        </w:rPr>
        <w:t>332</w:t>
      </w:r>
      <w:r w:rsidRPr="00B369F9">
        <w:rPr>
          <w:rFonts w:ascii="Times New Roman" w:hAnsi="Times New Roman" w:cs="Times New Roman"/>
          <w:noProof/>
          <w:sz w:val="24"/>
          <w:szCs w:val="24"/>
          <w:lang w:eastAsia="ru-RU"/>
        </w:rPr>
        <w:t>)</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p>
    <w:p w:rsidR="00896F55" w:rsidRPr="00B369F9" w:rsidRDefault="00896F55" w:rsidP="00896F55">
      <w:pPr>
        <w:spacing w:after="0" w:line="240" w:lineRule="auto"/>
        <w:jc w:val="right"/>
        <w:rPr>
          <w:rFonts w:ascii="Times New Roman" w:hAnsi="Times New Roman" w:cs="Times New Roman"/>
          <w:b/>
          <w:noProof/>
          <w:sz w:val="24"/>
          <w:szCs w:val="24"/>
          <w:lang w:eastAsia="ru-RU"/>
        </w:rPr>
      </w:pPr>
      <w:r w:rsidRPr="00B369F9">
        <w:rPr>
          <w:rFonts w:ascii="Times New Roman" w:hAnsi="Times New Roman" w:cs="Times New Roman"/>
          <w:b/>
          <w:noProof/>
          <w:sz w:val="24"/>
          <w:szCs w:val="24"/>
          <w:lang w:eastAsia="ru-RU"/>
        </w:rPr>
        <w:t>Достоверность данных, содержащихся в</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b/>
          <w:noProof/>
          <w:sz w:val="24"/>
          <w:szCs w:val="24"/>
          <w:lang w:eastAsia="ru-RU"/>
        </w:rPr>
        <w:t>годовом отчете, подтверждена:</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решением Ревизионной комиссии</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АО «Чеченэнерго» </w:t>
      </w:r>
      <w:r w:rsidR="00B63EFD">
        <w:rPr>
          <w:rFonts w:ascii="Times New Roman" w:hAnsi="Times New Roman" w:cs="Times New Roman"/>
          <w:noProof/>
          <w:sz w:val="24"/>
          <w:szCs w:val="24"/>
          <w:lang w:eastAsia="ru-RU"/>
        </w:rPr>
        <w:t>18</w:t>
      </w:r>
      <w:r w:rsidRPr="00B369F9">
        <w:rPr>
          <w:rFonts w:ascii="Times New Roman" w:hAnsi="Times New Roman" w:cs="Times New Roman"/>
          <w:noProof/>
          <w:sz w:val="24"/>
          <w:szCs w:val="24"/>
          <w:lang w:eastAsia="ru-RU"/>
        </w:rPr>
        <w:t>.</w:t>
      </w:r>
      <w:r w:rsidR="00B63EFD">
        <w:rPr>
          <w:rFonts w:ascii="Times New Roman" w:hAnsi="Times New Roman" w:cs="Times New Roman"/>
          <w:noProof/>
          <w:sz w:val="24"/>
          <w:szCs w:val="24"/>
          <w:lang w:eastAsia="ru-RU"/>
        </w:rPr>
        <w:t>04</w:t>
      </w:r>
      <w:r w:rsidRPr="00B369F9">
        <w:rPr>
          <w:rFonts w:ascii="Times New Roman" w:hAnsi="Times New Roman" w:cs="Times New Roman"/>
          <w:noProof/>
          <w:sz w:val="24"/>
          <w:szCs w:val="24"/>
          <w:lang w:eastAsia="ru-RU"/>
        </w:rPr>
        <w:t>.202</w:t>
      </w:r>
      <w:r w:rsidR="004526F6" w:rsidRPr="00B369F9">
        <w:rPr>
          <w:rFonts w:ascii="Times New Roman" w:hAnsi="Times New Roman" w:cs="Times New Roman"/>
          <w:noProof/>
          <w:sz w:val="24"/>
          <w:szCs w:val="24"/>
          <w:lang w:eastAsia="ru-RU"/>
        </w:rPr>
        <w:t>4</w:t>
      </w:r>
    </w:p>
    <w:p w:rsidR="00896F55" w:rsidRPr="00B369F9" w:rsidRDefault="00896F55" w:rsidP="00896F55">
      <w:pPr>
        <w:spacing w:after="0" w:line="240" w:lineRule="auto"/>
        <w:jc w:val="right"/>
        <w:rPr>
          <w:rFonts w:ascii="Times New Roman" w:hAnsi="Times New Roman" w:cs="Times New Roman"/>
          <w:noProof/>
          <w:sz w:val="24"/>
          <w:szCs w:val="24"/>
          <w:lang w:eastAsia="ru-RU"/>
        </w:rPr>
      </w:pPr>
      <w:r w:rsidRPr="00B369F9">
        <w:rPr>
          <w:rFonts w:ascii="Times New Roman" w:hAnsi="Times New Roman" w:cs="Times New Roman"/>
          <w:noProof/>
          <w:sz w:val="24"/>
          <w:szCs w:val="24"/>
          <w:lang w:eastAsia="ru-RU"/>
        </w:rPr>
        <w:t xml:space="preserve"> (протокол от </w:t>
      </w:r>
      <w:r w:rsidR="00B63EFD">
        <w:rPr>
          <w:rFonts w:ascii="Times New Roman" w:hAnsi="Times New Roman" w:cs="Times New Roman"/>
          <w:noProof/>
          <w:sz w:val="24"/>
          <w:szCs w:val="24"/>
          <w:lang w:eastAsia="ru-RU"/>
        </w:rPr>
        <w:t>18</w:t>
      </w:r>
      <w:r w:rsidRPr="00B369F9">
        <w:rPr>
          <w:rFonts w:ascii="Times New Roman" w:hAnsi="Times New Roman" w:cs="Times New Roman"/>
          <w:noProof/>
          <w:sz w:val="24"/>
          <w:szCs w:val="24"/>
          <w:lang w:eastAsia="ru-RU"/>
        </w:rPr>
        <w:t>.</w:t>
      </w:r>
      <w:r w:rsidR="00B63EFD">
        <w:rPr>
          <w:rFonts w:ascii="Times New Roman" w:hAnsi="Times New Roman" w:cs="Times New Roman"/>
          <w:noProof/>
          <w:sz w:val="24"/>
          <w:szCs w:val="24"/>
          <w:lang w:eastAsia="ru-RU"/>
        </w:rPr>
        <w:t>04</w:t>
      </w:r>
      <w:r w:rsidRPr="00B369F9">
        <w:rPr>
          <w:rFonts w:ascii="Times New Roman" w:hAnsi="Times New Roman" w:cs="Times New Roman"/>
          <w:noProof/>
          <w:sz w:val="24"/>
          <w:szCs w:val="24"/>
          <w:lang w:eastAsia="ru-RU"/>
        </w:rPr>
        <w:t>.202</w:t>
      </w:r>
      <w:r w:rsidR="004526F6" w:rsidRPr="00B369F9">
        <w:rPr>
          <w:rFonts w:ascii="Times New Roman" w:hAnsi="Times New Roman" w:cs="Times New Roman"/>
          <w:noProof/>
          <w:sz w:val="24"/>
          <w:szCs w:val="24"/>
          <w:lang w:eastAsia="ru-RU"/>
        </w:rPr>
        <w:t>4</w:t>
      </w:r>
      <w:r w:rsidRPr="00B369F9">
        <w:rPr>
          <w:rFonts w:ascii="Times New Roman" w:hAnsi="Times New Roman" w:cs="Times New Roman"/>
          <w:noProof/>
          <w:sz w:val="24"/>
          <w:szCs w:val="24"/>
          <w:lang w:eastAsia="ru-RU"/>
        </w:rPr>
        <w:t xml:space="preserve"> № </w:t>
      </w:r>
      <w:r w:rsidR="00B63EFD">
        <w:rPr>
          <w:rFonts w:ascii="Times New Roman" w:hAnsi="Times New Roman" w:cs="Times New Roman"/>
          <w:noProof/>
          <w:sz w:val="24"/>
          <w:szCs w:val="24"/>
          <w:lang w:eastAsia="ru-RU"/>
        </w:rPr>
        <w:t>4</w:t>
      </w:r>
      <w:bookmarkStart w:id="1" w:name="_GoBack"/>
      <w:bookmarkEnd w:id="1"/>
      <w:r w:rsidRPr="00B369F9">
        <w:rPr>
          <w:rFonts w:ascii="Times New Roman" w:hAnsi="Times New Roman" w:cs="Times New Roman"/>
          <w:noProof/>
          <w:sz w:val="24"/>
          <w:szCs w:val="24"/>
          <w:lang w:eastAsia="ru-RU"/>
        </w:rPr>
        <w:t>)</w:t>
      </w:r>
    </w:p>
    <w:p w:rsidR="00313583" w:rsidRPr="00B369F9" w:rsidRDefault="00313583" w:rsidP="007C7C02">
      <w:pPr>
        <w:spacing w:after="0" w:line="240" w:lineRule="auto"/>
        <w:jc w:val="right"/>
        <w:rPr>
          <w:rFonts w:ascii="Times New Roman" w:hAnsi="Times New Roman" w:cs="Times New Roman"/>
          <w:sz w:val="24"/>
          <w:szCs w:val="24"/>
        </w:rPr>
      </w:pPr>
    </w:p>
    <w:p w:rsidR="00313583" w:rsidRPr="00B369F9" w:rsidRDefault="00313583" w:rsidP="007C7C02">
      <w:pPr>
        <w:spacing w:after="0" w:line="240" w:lineRule="auto"/>
        <w:jc w:val="right"/>
        <w:rPr>
          <w:rFonts w:ascii="Times New Roman" w:hAnsi="Times New Roman" w:cs="Times New Roman"/>
          <w:sz w:val="24"/>
          <w:szCs w:val="24"/>
        </w:rPr>
      </w:pPr>
    </w:p>
    <w:p w:rsidR="00313583" w:rsidRPr="00B369F9" w:rsidRDefault="00313583" w:rsidP="007C7C02">
      <w:pPr>
        <w:spacing w:after="0" w:line="240" w:lineRule="auto"/>
        <w:jc w:val="right"/>
        <w:rPr>
          <w:rFonts w:ascii="Times New Roman" w:hAnsi="Times New Roman" w:cs="Times New Roman"/>
          <w:sz w:val="24"/>
          <w:szCs w:val="24"/>
        </w:rPr>
      </w:pPr>
    </w:p>
    <w:p w:rsidR="00313583" w:rsidRPr="00B369F9" w:rsidRDefault="00313583" w:rsidP="00896F55">
      <w:pPr>
        <w:spacing w:after="0" w:line="240" w:lineRule="auto"/>
        <w:rPr>
          <w:rFonts w:ascii="Times New Roman" w:hAnsi="Times New Roman" w:cs="Times New Roman"/>
          <w:sz w:val="24"/>
          <w:szCs w:val="24"/>
        </w:rPr>
      </w:pPr>
    </w:p>
    <w:p w:rsidR="00896F55" w:rsidRPr="00B369F9" w:rsidRDefault="00896F55" w:rsidP="00896F55">
      <w:pPr>
        <w:spacing w:after="0" w:line="240" w:lineRule="auto"/>
        <w:rPr>
          <w:rFonts w:ascii="Times New Roman" w:hAnsi="Times New Roman" w:cs="Times New Roman"/>
          <w:sz w:val="24"/>
          <w:szCs w:val="24"/>
        </w:rPr>
      </w:pPr>
    </w:p>
    <w:p w:rsidR="00896F55" w:rsidRPr="00B369F9" w:rsidRDefault="00896F55" w:rsidP="00896F55">
      <w:pPr>
        <w:spacing w:after="0" w:line="240" w:lineRule="auto"/>
        <w:rPr>
          <w:rFonts w:ascii="Times New Roman" w:hAnsi="Times New Roman" w:cs="Times New Roman"/>
          <w:sz w:val="24"/>
          <w:szCs w:val="24"/>
        </w:rPr>
      </w:pPr>
    </w:p>
    <w:p w:rsidR="00896F55" w:rsidRPr="00B369F9" w:rsidRDefault="00896F55" w:rsidP="00896F55">
      <w:pPr>
        <w:spacing w:after="0" w:line="240" w:lineRule="auto"/>
        <w:rPr>
          <w:rFonts w:ascii="Times New Roman" w:hAnsi="Times New Roman" w:cs="Times New Roman"/>
          <w:sz w:val="24"/>
          <w:szCs w:val="24"/>
        </w:rPr>
      </w:pPr>
    </w:p>
    <w:p w:rsidR="00896F55" w:rsidRPr="00B369F9" w:rsidRDefault="00896F55" w:rsidP="007C7C02">
      <w:pPr>
        <w:spacing w:after="0" w:line="240" w:lineRule="auto"/>
        <w:jc w:val="right"/>
        <w:rPr>
          <w:rFonts w:ascii="Times New Roman" w:hAnsi="Times New Roman" w:cs="Times New Roman"/>
          <w:sz w:val="24"/>
          <w:szCs w:val="24"/>
        </w:rPr>
      </w:pPr>
    </w:p>
    <w:p w:rsidR="00896F55" w:rsidRPr="00B369F9" w:rsidRDefault="00896F55" w:rsidP="007C7C02">
      <w:pPr>
        <w:spacing w:after="0" w:line="240" w:lineRule="auto"/>
        <w:jc w:val="right"/>
        <w:rPr>
          <w:rFonts w:ascii="Times New Roman" w:hAnsi="Times New Roman" w:cs="Times New Roman"/>
          <w:sz w:val="24"/>
          <w:szCs w:val="24"/>
        </w:rPr>
      </w:pPr>
    </w:p>
    <w:p w:rsidR="00313583" w:rsidRPr="00B369F9" w:rsidRDefault="00313583" w:rsidP="007C7C02">
      <w:pPr>
        <w:spacing w:after="0" w:line="240" w:lineRule="auto"/>
        <w:jc w:val="right"/>
        <w:rPr>
          <w:rFonts w:ascii="Times New Roman" w:hAnsi="Times New Roman" w:cs="Times New Roman"/>
          <w:sz w:val="24"/>
          <w:szCs w:val="24"/>
        </w:rPr>
      </w:pPr>
    </w:p>
    <w:p w:rsidR="00313583" w:rsidRPr="001B5E2D" w:rsidRDefault="00896F55" w:rsidP="007C7C02">
      <w:pPr>
        <w:spacing w:after="0" w:line="240" w:lineRule="auto"/>
        <w:jc w:val="center"/>
        <w:rPr>
          <w:rFonts w:ascii="Times New Roman" w:hAnsi="Times New Roman" w:cs="Times New Roman"/>
          <w:b/>
          <w:bCs/>
          <w:sz w:val="56"/>
          <w:szCs w:val="56"/>
        </w:rPr>
      </w:pPr>
      <w:r w:rsidRPr="001B5E2D">
        <w:rPr>
          <w:rFonts w:ascii="Times New Roman" w:hAnsi="Times New Roman" w:cs="Times New Roman"/>
          <w:b/>
          <w:bCs/>
          <w:sz w:val="56"/>
          <w:szCs w:val="56"/>
        </w:rPr>
        <w:t>ГОДОВОЙ ОТЧЕТ</w:t>
      </w:r>
    </w:p>
    <w:p w:rsidR="004526F6" w:rsidRPr="001B5E2D" w:rsidRDefault="00896F55" w:rsidP="007C7C02">
      <w:pPr>
        <w:spacing w:after="0" w:line="240" w:lineRule="auto"/>
        <w:jc w:val="center"/>
        <w:rPr>
          <w:rFonts w:ascii="Times New Roman" w:hAnsi="Times New Roman" w:cs="Times New Roman"/>
          <w:b/>
          <w:bCs/>
          <w:sz w:val="40"/>
          <w:szCs w:val="40"/>
        </w:rPr>
      </w:pPr>
      <w:r w:rsidRPr="001B5E2D">
        <w:rPr>
          <w:rFonts w:ascii="Times New Roman" w:hAnsi="Times New Roman" w:cs="Times New Roman"/>
          <w:b/>
          <w:bCs/>
          <w:sz w:val="40"/>
          <w:szCs w:val="40"/>
        </w:rPr>
        <w:t xml:space="preserve">АКЦИОНЕРНОГО ОБЩЕСТВА «ЧЕЧЕНЭНЕРГО» </w:t>
      </w:r>
    </w:p>
    <w:p w:rsidR="00313583" w:rsidRPr="001B5E2D" w:rsidRDefault="00896F55" w:rsidP="007C7C02">
      <w:pPr>
        <w:spacing w:after="0" w:line="240" w:lineRule="auto"/>
        <w:jc w:val="center"/>
        <w:rPr>
          <w:rFonts w:ascii="Times New Roman" w:hAnsi="Times New Roman" w:cs="Times New Roman"/>
          <w:b/>
          <w:bCs/>
          <w:sz w:val="40"/>
          <w:szCs w:val="40"/>
        </w:rPr>
      </w:pPr>
      <w:r w:rsidRPr="001B5E2D">
        <w:rPr>
          <w:rFonts w:ascii="Times New Roman" w:hAnsi="Times New Roman" w:cs="Times New Roman"/>
          <w:b/>
          <w:bCs/>
          <w:sz w:val="40"/>
          <w:szCs w:val="40"/>
        </w:rPr>
        <w:t>ЗА 202</w:t>
      </w:r>
      <w:r w:rsidR="004526F6" w:rsidRPr="001B5E2D">
        <w:rPr>
          <w:rFonts w:ascii="Times New Roman" w:hAnsi="Times New Roman" w:cs="Times New Roman"/>
          <w:b/>
          <w:bCs/>
          <w:sz w:val="40"/>
          <w:szCs w:val="40"/>
        </w:rPr>
        <w:t>3</w:t>
      </w:r>
      <w:r w:rsidRPr="001B5E2D">
        <w:rPr>
          <w:rFonts w:ascii="Times New Roman" w:hAnsi="Times New Roman" w:cs="Times New Roman"/>
          <w:b/>
          <w:bCs/>
          <w:sz w:val="40"/>
          <w:szCs w:val="40"/>
        </w:rPr>
        <w:t xml:space="preserve"> ГОД</w:t>
      </w:r>
    </w:p>
    <w:p w:rsidR="00313583" w:rsidRPr="00B369F9" w:rsidRDefault="00313583" w:rsidP="007C7C02">
      <w:pPr>
        <w:spacing w:after="0" w:line="240" w:lineRule="auto"/>
        <w:rPr>
          <w:rFonts w:ascii="Times New Roman" w:eastAsia="Calibri" w:hAnsi="Times New Roman" w:cs="Times New Roman"/>
          <w:iCs/>
          <w:noProof/>
          <w:sz w:val="24"/>
          <w:szCs w:val="24"/>
        </w:rPr>
      </w:pPr>
    </w:p>
    <w:p w:rsidR="00520C42" w:rsidRPr="00B369F9" w:rsidRDefault="00520C42" w:rsidP="007C7C02">
      <w:pPr>
        <w:spacing w:after="0" w:line="240" w:lineRule="auto"/>
        <w:rPr>
          <w:rFonts w:ascii="Times New Roman" w:eastAsia="Calibri" w:hAnsi="Times New Roman" w:cs="Times New Roman"/>
          <w:iCs/>
          <w:noProof/>
          <w:sz w:val="24"/>
          <w:szCs w:val="24"/>
        </w:rPr>
      </w:pPr>
    </w:p>
    <w:p w:rsidR="00520C42" w:rsidRPr="00B369F9" w:rsidRDefault="00520C42" w:rsidP="007C7C02">
      <w:pPr>
        <w:spacing w:after="0" w:line="240" w:lineRule="auto"/>
        <w:rPr>
          <w:rFonts w:ascii="Times New Roman" w:eastAsia="Calibri" w:hAnsi="Times New Roman" w:cs="Times New Roman"/>
          <w:iCs/>
          <w:noProof/>
          <w:sz w:val="24"/>
          <w:szCs w:val="24"/>
        </w:rPr>
      </w:pPr>
    </w:p>
    <w:p w:rsidR="00313583" w:rsidRPr="00B369F9" w:rsidRDefault="00313583" w:rsidP="007C7C02">
      <w:pPr>
        <w:spacing w:after="0" w:line="240" w:lineRule="auto"/>
        <w:rPr>
          <w:rFonts w:ascii="Times New Roman" w:hAnsi="Times New Roman" w:cs="Times New Roman"/>
          <w:sz w:val="24"/>
          <w:szCs w:val="24"/>
        </w:rPr>
      </w:pPr>
    </w:p>
    <w:p w:rsidR="00313583" w:rsidRPr="00B369F9" w:rsidRDefault="00313583" w:rsidP="007C7C02">
      <w:pPr>
        <w:spacing w:after="0" w:line="240" w:lineRule="auto"/>
        <w:rPr>
          <w:rFonts w:ascii="Times New Roman" w:hAnsi="Times New Roman" w:cs="Times New Roman"/>
          <w:sz w:val="24"/>
          <w:szCs w:val="24"/>
        </w:rPr>
      </w:pPr>
    </w:p>
    <w:p w:rsidR="00313583" w:rsidRPr="00B369F9" w:rsidRDefault="00313583" w:rsidP="007C7C02">
      <w:pPr>
        <w:spacing w:after="0" w:line="240" w:lineRule="auto"/>
        <w:rPr>
          <w:rFonts w:ascii="Times New Roman" w:hAnsi="Times New Roman" w:cs="Times New Roman"/>
          <w:sz w:val="24"/>
          <w:szCs w:val="24"/>
        </w:rPr>
      </w:pPr>
    </w:p>
    <w:p w:rsidR="00922A49" w:rsidRDefault="00922A49" w:rsidP="007C7C02">
      <w:pPr>
        <w:spacing w:after="0" w:line="240" w:lineRule="auto"/>
        <w:rPr>
          <w:rFonts w:ascii="Times New Roman" w:hAnsi="Times New Roman" w:cs="Times New Roman"/>
          <w:b/>
          <w:sz w:val="28"/>
          <w:szCs w:val="28"/>
        </w:rPr>
      </w:pPr>
      <w:r>
        <w:rPr>
          <w:rFonts w:ascii="Times New Roman" w:hAnsi="Times New Roman" w:cs="Times New Roman"/>
          <w:b/>
          <w:sz w:val="28"/>
          <w:szCs w:val="28"/>
        </w:rPr>
        <w:t>Исполняющий обязанности</w:t>
      </w:r>
    </w:p>
    <w:p w:rsidR="00313583" w:rsidRPr="001B5E2D" w:rsidRDefault="00313583" w:rsidP="007C7C02">
      <w:pPr>
        <w:spacing w:after="0" w:line="240" w:lineRule="auto"/>
        <w:rPr>
          <w:rFonts w:ascii="Times New Roman" w:hAnsi="Times New Roman" w:cs="Times New Roman"/>
          <w:b/>
          <w:sz w:val="28"/>
          <w:szCs w:val="28"/>
        </w:rPr>
      </w:pPr>
      <w:r w:rsidRPr="001B5E2D">
        <w:rPr>
          <w:rFonts w:ascii="Times New Roman" w:hAnsi="Times New Roman" w:cs="Times New Roman"/>
          <w:b/>
          <w:sz w:val="28"/>
          <w:szCs w:val="28"/>
        </w:rPr>
        <w:t>Генеральн</w:t>
      </w:r>
      <w:r w:rsidR="00922A49">
        <w:rPr>
          <w:rFonts w:ascii="Times New Roman" w:hAnsi="Times New Roman" w:cs="Times New Roman"/>
          <w:b/>
          <w:sz w:val="28"/>
          <w:szCs w:val="28"/>
        </w:rPr>
        <w:t>ого</w:t>
      </w:r>
      <w:r w:rsidRPr="001B5E2D">
        <w:rPr>
          <w:rFonts w:ascii="Times New Roman" w:hAnsi="Times New Roman" w:cs="Times New Roman"/>
          <w:b/>
          <w:sz w:val="28"/>
          <w:szCs w:val="28"/>
        </w:rPr>
        <w:t xml:space="preserve"> директор</w:t>
      </w:r>
      <w:r w:rsidR="00922A49">
        <w:rPr>
          <w:rFonts w:ascii="Times New Roman" w:hAnsi="Times New Roman" w:cs="Times New Roman"/>
          <w:b/>
          <w:sz w:val="28"/>
          <w:szCs w:val="28"/>
        </w:rPr>
        <w:t>а</w:t>
      </w:r>
    </w:p>
    <w:p w:rsidR="00313583" w:rsidRPr="001B5E2D" w:rsidRDefault="00313583" w:rsidP="007C7C02">
      <w:pPr>
        <w:spacing w:after="0" w:line="240" w:lineRule="auto"/>
        <w:rPr>
          <w:rFonts w:ascii="Times New Roman" w:hAnsi="Times New Roman" w:cs="Times New Roman"/>
          <w:b/>
          <w:sz w:val="28"/>
          <w:szCs w:val="28"/>
        </w:rPr>
      </w:pPr>
      <w:r w:rsidRPr="001B5E2D">
        <w:rPr>
          <w:rFonts w:ascii="Times New Roman" w:hAnsi="Times New Roman" w:cs="Times New Roman"/>
          <w:b/>
          <w:sz w:val="28"/>
          <w:szCs w:val="28"/>
        </w:rPr>
        <w:t xml:space="preserve">управляющей организации </w:t>
      </w:r>
    </w:p>
    <w:p w:rsidR="00313583" w:rsidRPr="001B5E2D" w:rsidRDefault="00313583" w:rsidP="007C7C02">
      <w:pPr>
        <w:spacing w:after="0" w:line="240" w:lineRule="auto"/>
        <w:rPr>
          <w:rFonts w:ascii="Times New Roman" w:hAnsi="Times New Roman" w:cs="Times New Roman"/>
          <w:b/>
          <w:sz w:val="28"/>
          <w:szCs w:val="28"/>
        </w:rPr>
      </w:pPr>
      <w:r w:rsidRPr="001B5E2D">
        <w:rPr>
          <w:rFonts w:ascii="Times New Roman" w:hAnsi="Times New Roman" w:cs="Times New Roman"/>
          <w:b/>
          <w:sz w:val="28"/>
          <w:szCs w:val="28"/>
        </w:rPr>
        <w:t>- ПАО «Россети Северный Кавказ»</w:t>
      </w:r>
      <w:r w:rsidR="00F630F1" w:rsidRPr="001B5E2D">
        <w:rPr>
          <w:rFonts w:ascii="Times New Roman" w:hAnsi="Times New Roman" w:cs="Times New Roman"/>
          <w:b/>
          <w:sz w:val="28"/>
          <w:szCs w:val="28"/>
        </w:rPr>
        <w:tab/>
      </w:r>
      <w:r w:rsidR="00F630F1" w:rsidRPr="001B5E2D">
        <w:rPr>
          <w:rFonts w:ascii="Times New Roman" w:hAnsi="Times New Roman" w:cs="Times New Roman"/>
          <w:b/>
          <w:sz w:val="28"/>
          <w:szCs w:val="28"/>
        </w:rPr>
        <w:tab/>
      </w:r>
      <w:r w:rsidR="00F630F1" w:rsidRPr="001B5E2D">
        <w:rPr>
          <w:rFonts w:ascii="Times New Roman" w:hAnsi="Times New Roman" w:cs="Times New Roman"/>
          <w:b/>
          <w:sz w:val="28"/>
          <w:szCs w:val="28"/>
        </w:rPr>
        <w:tab/>
      </w:r>
      <w:r w:rsidR="00F630F1" w:rsidRPr="001B5E2D">
        <w:rPr>
          <w:rFonts w:ascii="Times New Roman" w:hAnsi="Times New Roman" w:cs="Times New Roman"/>
          <w:b/>
          <w:sz w:val="28"/>
          <w:szCs w:val="28"/>
        </w:rPr>
        <w:tab/>
        <w:t xml:space="preserve">      </w:t>
      </w:r>
      <w:r w:rsidR="00922A49">
        <w:rPr>
          <w:rFonts w:ascii="Times New Roman" w:hAnsi="Times New Roman" w:cs="Times New Roman"/>
          <w:b/>
          <w:sz w:val="28"/>
          <w:szCs w:val="28"/>
        </w:rPr>
        <w:t>И.В. Шмаков</w:t>
      </w:r>
    </w:p>
    <w:p w:rsidR="00313583" w:rsidRPr="00B369F9" w:rsidRDefault="00313583" w:rsidP="007C7C02">
      <w:pPr>
        <w:spacing w:after="0" w:line="240" w:lineRule="auto"/>
        <w:rPr>
          <w:rFonts w:ascii="Times New Roman" w:hAnsi="Times New Roman" w:cs="Times New Roman"/>
          <w:b/>
          <w:sz w:val="24"/>
          <w:szCs w:val="24"/>
        </w:rPr>
      </w:pPr>
    </w:p>
    <w:p w:rsidR="00313583" w:rsidRPr="00B369F9" w:rsidRDefault="00313583" w:rsidP="007C7C02">
      <w:pPr>
        <w:spacing w:after="0" w:line="240" w:lineRule="auto"/>
        <w:rPr>
          <w:rFonts w:ascii="Times New Roman" w:eastAsia="Calibri" w:hAnsi="Times New Roman" w:cs="Times New Roman"/>
          <w:iCs/>
          <w:noProof/>
          <w:sz w:val="24"/>
          <w:szCs w:val="24"/>
        </w:rPr>
      </w:pPr>
    </w:p>
    <w:p w:rsidR="00313583" w:rsidRPr="00B369F9" w:rsidRDefault="00313583" w:rsidP="007C7C02">
      <w:pPr>
        <w:spacing w:after="0" w:line="240" w:lineRule="auto"/>
        <w:rPr>
          <w:rFonts w:ascii="Times New Roman" w:hAnsi="Times New Roman" w:cs="Times New Roman"/>
          <w:b/>
          <w:sz w:val="24"/>
          <w:szCs w:val="24"/>
        </w:rPr>
      </w:pPr>
    </w:p>
    <w:p w:rsidR="00313583" w:rsidRPr="00B369F9" w:rsidRDefault="00313583" w:rsidP="007C7C02">
      <w:pPr>
        <w:spacing w:after="0" w:line="240" w:lineRule="auto"/>
        <w:jc w:val="center"/>
        <w:rPr>
          <w:rFonts w:ascii="Times New Roman" w:hAnsi="Times New Roman" w:cs="Times New Roman"/>
          <w:b/>
          <w:sz w:val="24"/>
          <w:szCs w:val="24"/>
        </w:rPr>
      </w:pPr>
    </w:p>
    <w:p w:rsidR="00313583" w:rsidRPr="00B369F9" w:rsidRDefault="00313583" w:rsidP="007C7C02">
      <w:pPr>
        <w:spacing w:after="0" w:line="240" w:lineRule="auto"/>
        <w:jc w:val="center"/>
        <w:rPr>
          <w:rFonts w:ascii="Times New Roman" w:hAnsi="Times New Roman" w:cs="Times New Roman"/>
          <w:b/>
          <w:sz w:val="24"/>
          <w:szCs w:val="24"/>
        </w:rPr>
      </w:pPr>
    </w:p>
    <w:p w:rsidR="00313583" w:rsidRPr="00B369F9" w:rsidRDefault="00313583" w:rsidP="007C7C02">
      <w:pPr>
        <w:spacing w:after="0" w:line="240" w:lineRule="auto"/>
        <w:jc w:val="center"/>
        <w:rPr>
          <w:rFonts w:ascii="Times New Roman" w:hAnsi="Times New Roman" w:cs="Times New Roman"/>
          <w:b/>
          <w:sz w:val="24"/>
          <w:szCs w:val="24"/>
        </w:rPr>
      </w:pPr>
    </w:p>
    <w:p w:rsidR="003F39BC" w:rsidRPr="00B369F9" w:rsidRDefault="003F39BC" w:rsidP="007C7C02">
      <w:pPr>
        <w:spacing w:after="0" w:line="240" w:lineRule="auto"/>
        <w:jc w:val="center"/>
        <w:rPr>
          <w:sz w:val="24"/>
          <w:szCs w:val="24"/>
          <w:lang w:eastAsia="ru-RU"/>
        </w:rPr>
      </w:pPr>
      <w:r w:rsidRPr="00B369F9">
        <w:rPr>
          <w:sz w:val="24"/>
          <w:szCs w:val="24"/>
          <w:lang w:eastAsia="ru-RU"/>
        </w:rPr>
        <w:br w:type="page"/>
      </w:r>
    </w:p>
    <w:p w:rsidR="003F39BC" w:rsidRPr="00B369F9" w:rsidRDefault="00847A52" w:rsidP="007C7C02">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lastRenderedPageBreak/>
        <w:t>Оглавление</w:t>
      </w:r>
    </w:p>
    <w:bookmarkStart w:id="2" w:name="_Toc473537010" w:displacedByCustomXml="next"/>
    <w:sdt>
      <w:sdtPr>
        <w:rPr>
          <w:rFonts w:asciiTheme="minorHAnsi" w:eastAsiaTheme="minorHAnsi" w:hAnsiTheme="minorHAnsi" w:cstheme="minorBidi"/>
          <w:color w:val="auto"/>
          <w:sz w:val="24"/>
          <w:szCs w:val="24"/>
          <w:lang w:eastAsia="en-US"/>
        </w:rPr>
        <w:id w:val="1787461746"/>
        <w:docPartObj>
          <w:docPartGallery w:val="Table of Contents"/>
          <w:docPartUnique/>
        </w:docPartObj>
      </w:sdtPr>
      <w:sdtEndPr>
        <w:rPr>
          <w:b/>
          <w:bCs/>
        </w:rPr>
      </w:sdtEndPr>
      <w:sdtContent>
        <w:p w:rsidR="00847A52" w:rsidRPr="00B369F9" w:rsidRDefault="00847A52" w:rsidP="007C7C02">
          <w:pPr>
            <w:pStyle w:val="afffff8"/>
            <w:spacing w:before="0" w:line="240" w:lineRule="auto"/>
            <w:rPr>
              <w:sz w:val="24"/>
              <w:szCs w:val="24"/>
            </w:rPr>
          </w:pPr>
        </w:p>
        <w:p w:rsidR="009D5C51" w:rsidRPr="009D5C51" w:rsidRDefault="00123495">
          <w:pPr>
            <w:pStyle w:val="1f1"/>
            <w:rPr>
              <w:rFonts w:asciiTheme="minorHAnsi" w:eastAsiaTheme="minorEastAsia" w:hAnsiTheme="minorHAnsi" w:cstheme="minorBidi"/>
              <w:b w:val="0"/>
              <w:bCs w:val="0"/>
              <w:iCs w:val="0"/>
              <w:sz w:val="24"/>
              <w:lang w:eastAsia="ru-RU"/>
            </w:rPr>
          </w:pPr>
          <w:r w:rsidRPr="009D5C51">
            <w:rPr>
              <w:sz w:val="24"/>
              <w:lang w:eastAsia="ru-RU"/>
            </w:rPr>
            <w:fldChar w:fldCharType="begin"/>
          </w:r>
          <w:r w:rsidRPr="009D5C51">
            <w:rPr>
              <w:sz w:val="24"/>
              <w:lang w:eastAsia="ru-RU"/>
            </w:rPr>
            <w:instrText xml:space="preserve"> TOC \o "1-2" \h \z \u </w:instrText>
          </w:r>
          <w:r w:rsidRPr="009D5C51">
            <w:rPr>
              <w:sz w:val="24"/>
              <w:lang w:eastAsia="ru-RU"/>
            </w:rPr>
            <w:fldChar w:fldCharType="separate"/>
          </w:r>
          <w:hyperlink w:anchor="_Toc163738852" w:history="1">
            <w:r w:rsidR="009D5C51" w:rsidRPr="009D5C51">
              <w:rPr>
                <w:rStyle w:val="af4"/>
                <w:sz w:val="24"/>
              </w:rPr>
              <w:t>Обращение Председателя Совета директоров АО «Чеченэнерго»</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_Toc163738852 \h </w:instrText>
            </w:r>
            <w:r w:rsidR="009D5C51" w:rsidRPr="009D5C51">
              <w:rPr>
                <w:webHidden/>
                <w:sz w:val="24"/>
              </w:rPr>
            </w:r>
            <w:r w:rsidR="009D5C51" w:rsidRPr="009D5C51">
              <w:rPr>
                <w:webHidden/>
                <w:sz w:val="24"/>
              </w:rPr>
              <w:fldChar w:fldCharType="separate"/>
            </w:r>
            <w:r w:rsidR="00B63EFD">
              <w:rPr>
                <w:webHidden/>
                <w:sz w:val="24"/>
              </w:rPr>
              <w:t>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3" w:history="1">
            <w:r w:rsidR="009D5C51" w:rsidRPr="009D5C51">
              <w:rPr>
                <w:rStyle w:val="af4"/>
                <w:sz w:val="24"/>
              </w:rPr>
              <w:t>Обращение Генерального директора управляющей организации – ПАО «Россети Северный Кавказ»</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_Toc163738853 \h </w:instrText>
            </w:r>
            <w:r w:rsidR="009D5C51" w:rsidRPr="009D5C51">
              <w:rPr>
                <w:webHidden/>
                <w:sz w:val="24"/>
              </w:rPr>
            </w:r>
            <w:r w:rsidR="009D5C51" w:rsidRPr="009D5C51">
              <w:rPr>
                <w:webHidden/>
                <w:sz w:val="24"/>
              </w:rPr>
              <w:fldChar w:fldCharType="separate"/>
            </w:r>
            <w:r w:rsidR="00B63EFD">
              <w:rPr>
                <w:webHidden/>
                <w:sz w:val="24"/>
              </w:rPr>
              <w:t>4</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4" w:history="1">
            <w:r w:rsidR="009D5C51" w:rsidRPr="009D5C51">
              <w:rPr>
                <w:rStyle w:val="af4"/>
                <w:sz w:val="24"/>
              </w:rPr>
              <w:t>О Компании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_Toc163738854 \h </w:instrText>
            </w:r>
            <w:r w:rsidR="009D5C51" w:rsidRPr="009D5C51">
              <w:rPr>
                <w:webHidden/>
                <w:sz w:val="24"/>
              </w:rPr>
            </w:r>
            <w:r w:rsidR="009D5C51" w:rsidRPr="009D5C51">
              <w:rPr>
                <w:webHidden/>
                <w:sz w:val="24"/>
              </w:rPr>
              <w:fldChar w:fldCharType="separate"/>
            </w:r>
            <w:r w:rsidR="00B63EFD">
              <w:rPr>
                <w:webHidden/>
                <w:sz w:val="24"/>
              </w:rPr>
              <w:t>5</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5" w:history="1">
            <w:r w:rsidR="009D5C51" w:rsidRPr="009D5C51">
              <w:rPr>
                <w:rStyle w:val="af4"/>
                <w:sz w:val="24"/>
              </w:rPr>
              <w:t>Стратегический отчет</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_Toc163738855 \h </w:instrText>
            </w:r>
            <w:r w:rsidR="009D5C51" w:rsidRPr="009D5C51">
              <w:rPr>
                <w:webHidden/>
                <w:sz w:val="24"/>
              </w:rPr>
            </w:r>
            <w:r w:rsidR="009D5C51" w:rsidRPr="009D5C51">
              <w:rPr>
                <w:webHidden/>
                <w:sz w:val="24"/>
              </w:rPr>
              <w:fldChar w:fldCharType="separate"/>
            </w:r>
            <w:r w:rsidR="00B63EFD">
              <w:rPr>
                <w:webHidden/>
                <w:sz w:val="24"/>
              </w:rPr>
              <w:t>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6" w:history="1">
            <w:r w:rsidR="009D5C51" w:rsidRPr="009D5C51">
              <w:rPr>
                <w:rStyle w:val="af4"/>
                <w:sz w:val="24"/>
              </w:rPr>
              <w:t>Положение Компании на рынке и конкурентная среда</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_Toc163738856 \h </w:instrText>
            </w:r>
            <w:r w:rsidR="009D5C51" w:rsidRPr="009D5C51">
              <w:rPr>
                <w:webHidden/>
                <w:sz w:val="24"/>
              </w:rPr>
            </w:r>
            <w:r w:rsidR="009D5C51" w:rsidRPr="009D5C51">
              <w:rPr>
                <w:webHidden/>
                <w:sz w:val="24"/>
              </w:rPr>
              <w:fldChar w:fldCharType="separate"/>
            </w:r>
            <w:r w:rsidR="00B63EFD">
              <w:rPr>
                <w:webHidden/>
                <w:sz w:val="24"/>
              </w:rPr>
              <w:t>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7" w:history="1">
            <w:r w:rsidR="009D5C51" w:rsidRPr="009D5C51">
              <w:rPr>
                <w:rStyle w:val="af4"/>
                <w:sz w:val="24"/>
              </w:rPr>
              <w:t>Ключевые показатели эффективности и функциональные ключевые показатели эффективности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_Toc163738857 \h </w:instrText>
            </w:r>
            <w:r w:rsidR="009D5C51" w:rsidRPr="009D5C51">
              <w:rPr>
                <w:webHidden/>
                <w:sz w:val="24"/>
              </w:rPr>
            </w:r>
            <w:r w:rsidR="009D5C51" w:rsidRPr="009D5C51">
              <w:rPr>
                <w:webHidden/>
                <w:sz w:val="24"/>
              </w:rPr>
              <w:fldChar w:fldCharType="separate"/>
            </w:r>
            <w:r w:rsidR="00B63EFD">
              <w:rPr>
                <w:webHidden/>
                <w:sz w:val="24"/>
              </w:rPr>
              <w:t>7</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8" w:history="1">
            <w:r w:rsidR="009D5C51" w:rsidRPr="009D5C51">
              <w:rPr>
                <w:rStyle w:val="af4"/>
                <w:sz w:val="24"/>
              </w:rPr>
              <w:t>Ключевые риски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_Toc163738858 \h </w:instrText>
            </w:r>
            <w:r w:rsidR="009D5C51" w:rsidRPr="009D5C51">
              <w:rPr>
                <w:webHidden/>
                <w:sz w:val="24"/>
              </w:rPr>
            </w:r>
            <w:r w:rsidR="009D5C51" w:rsidRPr="009D5C51">
              <w:rPr>
                <w:webHidden/>
                <w:sz w:val="24"/>
              </w:rPr>
              <w:fldChar w:fldCharType="separate"/>
            </w:r>
            <w:r w:rsidR="00B63EFD">
              <w:rPr>
                <w:webHidden/>
                <w:sz w:val="24"/>
              </w:rPr>
              <w:t>17</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59" w:history="1">
            <w:r w:rsidR="009D5C51" w:rsidRPr="009D5C51">
              <w:rPr>
                <w:rStyle w:val="af4"/>
                <w:sz w:val="24"/>
              </w:rPr>
              <w:t>Результаты деятельности за 2023 год</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_Toc163738859 \h </w:instrText>
            </w:r>
            <w:r w:rsidR="009D5C51" w:rsidRPr="009D5C51">
              <w:rPr>
                <w:webHidden/>
                <w:sz w:val="24"/>
              </w:rPr>
            </w:r>
            <w:r w:rsidR="009D5C51" w:rsidRPr="009D5C51">
              <w:rPr>
                <w:webHidden/>
                <w:sz w:val="24"/>
              </w:rPr>
              <w:fldChar w:fldCharType="separate"/>
            </w:r>
            <w:r w:rsidR="00B63EFD">
              <w:rPr>
                <w:webHidden/>
                <w:sz w:val="24"/>
              </w:rPr>
              <w:t>23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0" w:history="1">
            <w:r w:rsidR="009D5C51" w:rsidRPr="009D5C51">
              <w:rPr>
                <w:rStyle w:val="af4"/>
                <w:sz w:val="24"/>
              </w:rPr>
              <w:t>Операционные результаты</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_Toc163738860 \h </w:instrText>
            </w:r>
            <w:r w:rsidR="009D5C51" w:rsidRPr="009D5C51">
              <w:rPr>
                <w:webHidden/>
                <w:sz w:val="24"/>
              </w:rPr>
            </w:r>
            <w:r w:rsidR="009D5C51" w:rsidRPr="009D5C51">
              <w:rPr>
                <w:webHidden/>
                <w:sz w:val="24"/>
              </w:rPr>
              <w:fldChar w:fldCharType="separate"/>
            </w:r>
            <w:r w:rsidR="00B63EFD">
              <w:rPr>
                <w:webHidden/>
                <w:sz w:val="24"/>
              </w:rPr>
              <w:t>23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1" w:history="1">
            <w:r w:rsidR="009D5C51" w:rsidRPr="009D5C51">
              <w:rPr>
                <w:rStyle w:val="af4"/>
                <w:sz w:val="24"/>
              </w:rPr>
              <w:t>Финансовые результаты</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_Toc163738861 \h </w:instrText>
            </w:r>
            <w:r w:rsidR="009D5C51" w:rsidRPr="009D5C51">
              <w:rPr>
                <w:webHidden/>
                <w:sz w:val="24"/>
              </w:rPr>
            </w:r>
            <w:r w:rsidR="009D5C51" w:rsidRPr="009D5C51">
              <w:rPr>
                <w:webHidden/>
                <w:sz w:val="24"/>
              </w:rPr>
              <w:fldChar w:fldCharType="separate"/>
            </w:r>
            <w:r w:rsidR="00B63EFD">
              <w:rPr>
                <w:webHidden/>
                <w:sz w:val="24"/>
              </w:rPr>
              <w:t>23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2" w:history="1">
            <w:r w:rsidR="009D5C51" w:rsidRPr="009D5C51">
              <w:rPr>
                <w:rStyle w:val="af4"/>
                <w:sz w:val="24"/>
              </w:rPr>
              <w:t>Тарифная политика</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_Toc163738862 \h </w:instrText>
            </w:r>
            <w:r w:rsidR="009D5C51" w:rsidRPr="009D5C51">
              <w:rPr>
                <w:webHidden/>
                <w:sz w:val="24"/>
              </w:rPr>
            </w:r>
            <w:r w:rsidR="009D5C51" w:rsidRPr="009D5C51">
              <w:rPr>
                <w:webHidden/>
                <w:sz w:val="24"/>
              </w:rPr>
              <w:fldChar w:fldCharType="separate"/>
            </w:r>
            <w:r w:rsidR="00B63EFD">
              <w:rPr>
                <w:webHidden/>
                <w:sz w:val="24"/>
              </w:rPr>
              <w:t>25</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3" w:history="1">
            <w:r w:rsidR="009D5C51" w:rsidRPr="009D5C51">
              <w:rPr>
                <w:rStyle w:val="af4"/>
                <w:sz w:val="24"/>
              </w:rPr>
              <w:t>Технологическое присоединение</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_Toc163738863 \h </w:instrText>
            </w:r>
            <w:r w:rsidR="009D5C51" w:rsidRPr="009D5C51">
              <w:rPr>
                <w:webHidden/>
                <w:sz w:val="24"/>
              </w:rPr>
            </w:r>
            <w:r w:rsidR="009D5C51" w:rsidRPr="009D5C51">
              <w:rPr>
                <w:webHidden/>
                <w:sz w:val="24"/>
              </w:rPr>
              <w:fldChar w:fldCharType="separate"/>
            </w:r>
            <w:r w:rsidR="00B63EFD">
              <w:rPr>
                <w:webHidden/>
                <w:sz w:val="24"/>
              </w:rPr>
              <w:t>29</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4" w:history="1">
            <w:r w:rsidR="009D5C51" w:rsidRPr="009D5C51">
              <w:rPr>
                <w:rStyle w:val="af4"/>
                <w:sz w:val="24"/>
              </w:rPr>
              <w:t>Взаимодействие с потребителями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_Toc163738864 \h </w:instrText>
            </w:r>
            <w:r w:rsidR="009D5C51" w:rsidRPr="009D5C51">
              <w:rPr>
                <w:webHidden/>
                <w:sz w:val="24"/>
              </w:rPr>
            </w:r>
            <w:r w:rsidR="009D5C51" w:rsidRPr="009D5C51">
              <w:rPr>
                <w:webHidden/>
                <w:sz w:val="24"/>
              </w:rPr>
              <w:fldChar w:fldCharType="separate"/>
            </w:r>
            <w:r w:rsidR="00B63EFD">
              <w:rPr>
                <w:webHidden/>
                <w:sz w:val="24"/>
              </w:rPr>
              <w:t>33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5" w:history="1">
            <w:r w:rsidR="009D5C51" w:rsidRPr="009D5C51">
              <w:rPr>
                <w:rStyle w:val="af4"/>
                <w:sz w:val="24"/>
              </w:rPr>
              <w:t>Реализация дополнительных (нетарифных) услуг</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_Toc163738865 \h </w:instrText>
            </w:r>
            <w:r w:rsidR="009D5C51" w:rsidRPr="009D5C51">
              <w:rPr>
                <w:webHidden/>
                <w:sz w:val="24"/>
              </w:rPr>
            </w:r>
            <w:r w:rsidR="009D5C51" w:rsidRPr="009D5C51">
              <w:rPr>
                <w:webHidden/>
                <w:sz w:val="24"/>
              </w:rPr>
              <w:fldChar w:fldCharType="separate"/>
            </w:r>
            <w:r w:rsidR="00B63EFD">
              <w:rPr>
                <w:webHidden/>
                <w:sz w:val="24"/>
              </w:rPr>
              <w:t>35</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6" w:history="1">
            <w:r w:rsidR="009D5C51" w:rsidRPr="009D5C51">
              <w:rPr>
                <w:rStyle w:val="af4"/>
                <w:sz w:val="24"/>
              </w:rPr>
              <w:t>Инвестиционная деятельность</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_Toc163738866 \h </w:instrText>
            </w:r>
            <w:r w:rsidR="009D5C51" w:rsidRPr="009D5C51">
              <w:rPr>
                <w:webHidden/>
                <w:sz w:val="24"/>
              </w:rPr>
            </w:r>
            <w:r w:rsidR="009D5C51" w:rsidRPr="009D5C51">
              <w:rPr>
                <w:webHidden/>
                <w:sz w:val="24"/>
              </w:rPr>
              <w:fldChar w:fldCharType="separate"/>
            </w:r>
            <w:r w:rsidR="00B63EFD">
              <w:rPr>
                <w:webHidden/>
                <w:sz w:val="24"/>
              </w:rPr>
              <w:t>36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7" w:history="1">
            <w:r w:rsidR="009D5C51" w:rsidRPr="009D5C51">
              <w:rPr>
                <w:rStyle w:val="af4"/>
                <w:sz w:val="24"/>
              </w:rPr>
              <w:t>Консолидация электросетевых активов</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_Toc163738867 \h </w:instrText>
            </w:r>
            <w:r w:rsidR="009D5C51" w:rsidRPr="009D5C51">
              <w:rPr>
                <w:webHidden/>
                <w:sz w:val="24"/>
              </w:rPr>
            </w:r>
            <w:r w:rsidR="009D5C51" w:rsidRPr="009D5C51">
              <w:rPr>
                <w:webHidden/>
                <w:sz w:val="24"/>
              </w:rPr>
              <w:fldChar w:fldCharType="separate"/>
            </w:r>
            <w:r w:rsidR="00B63EFD">
              <w:rPr>
                <w:webHidden/>
                <w:sz w:val="24"/>
              </w:rPr>
              <w:t>40</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8" w:history="1">
            <w:r w:rsidR="009D5C51" w:rsidRPr="009D5C51">
              <w:rPr>
                <w:rStyle w:val="af4"/>
                <w:sz w:val="24"/>
              </w:rPr>
              <w:t>Производственные показатели (количество подстанций, мощность подстанций, протяженность ЛЭП по цепям) и повышение надежности электросетевого комплекса (показатели надежности электросетевого комплекса (Пsaidi, Пsaifi), количество технологических нарушений (аварий) в сети 110 кВ и выше</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_Toc163738868 \h </w:instrText>
            </w:r>
            <w:r w:rsidR="009D5C51" w:rsidRPr="009D5C51">
              <w:rPr>
                <w:webHidden/>
                <w:sz w:val="24"/>
              </w:rPr>
            </w:r>
            <w:r w:rsidR="009D5C51" w:rsidRPr="009D5C51">
              <w:rPr>
                <w:webHidden/>
                <w:sz w:val="24"/>
              </w:rPr>
              <w:fldChar w:fldCharType="separate"/>
            </w:r>
            <w:r w:rsidR="00B63EFD">
              <w:rPr>
                <w:webHidden/>
                <w:sz w:val="24"/>
              </w:rPr>
              <w:t>42</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69" w:history="1">
            <w:r w:rsidR="009D5C51" w:rsidRPr="009D5C51">
              <w:rPr>
                <w:rStyle w:val="af4"/>
                <w:sz w:val="24"/>
              </w:rPr>
              <w:t>Инновационная деятельность</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_Toc163738869 \h </w:instrText>
            </w:r>
            <w:r w:rsidR="009D5C51" w:rsidRPr="009D5C51">
              <w:rPr>
                <w:webHidden/>
                <w:sz w:val="24"/>
              </w:rPr>
            </w:r>
            <w:r w:rsidR="009D5C51" w:rsidRPr="009D5C51">
              <w:rPr>
                <w:webHidden/>
                <w:sz w:val="24"/>
              </w:rPr>
              <w:fldChar w:fldCharType="separate"/>
            </w:r>
            <w:r w:rsidR="00B63EFD">
              <w:rPr>
                <w:webHidden/>
                <w:sz w:val="24"/>
              </w:rPr>
              <w:t>43</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0" w:history="1">
            <w:r w:rsidR="009D5C51" w:rsidRPr="009D5C51">
              <w:rPr>
                <w:rStyle w:val="af4"/>
                <w:sz w:val="24"/>
              </w:rPr>
              <w:t>Управление персоналом</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_Toc163738870 \h </w:instrText>
            </w:r>
            <w:r w:rsidR="009D5C51" w:rsidRPr="009D5C51">
              <w:rPr>
                <w:webHidden/>
                <w:sz w:val="24"/>
              </w:rPr>
            </w:r>
            <w:r w:rsidR="009D5C51" w:rsidRPr="009D5C51">
              <w:rPr>
                <w:webHidden/>
                <w:sz w:val="24"/>
              </w:rPr>
              <w:fldChar w:fldCharType="separate"/>
            </w:r>
            <w:r w:rsidR="00B63EFD">
              <w:rPr>
                <w:webHidden/>
                <w:sz w:val="24"/>
              </w:rPr>
              <w:t>46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1" w:history="1">
            <w:r w:rsidR="009D5C51" w:rsidRPr="009D5C51">
              <w:rPr>
                <w:rStyle w:val="af4"/>
                <w:sz w:val="24"/>
              </w:rPr>
              <w:t>Управление охраной труда и промышленной безопасностью</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_Toc163738871 \h </w:instrText>
            </w:r>
            <w:r w:rsidR="009D5C51" w:rsidRPr="009D5C51">
              <w:rPr>
                <w:webHidden/>
                <w:sz w:val="24"/>
              </w:rPr>
            </w:r>
            <w:r w:rsidR="009D5C51" w:rsidRPr="009D5C51">
              <w:rPr>
                <w:webHidden/>
                <w:sz w:val="24"/>
              </w:rPr>
              <w:fldChar w:fldCharType="separate"/>
            </w:r>
            <w:r w:rsidR="00B63EFD">
              <w:rPr>
                <w:webHidden/>
                <w:sz w:val="24"/>
              </w:rPr>
              <w:t>50</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2" w:history="1">
            <w:r w:rsidR="009D5C51" w:rsidRPr="009D5C51">
              <w:rPr>
                <w:rStyle w:val="af4"/>
                <w:sz w:val="24"/>
              </w:rPr>
              <w:t>Закупочная деятельность</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_Toc163738872 \h </w:instrText>
            </w:r>
            <w:r w:rsidR="009D5C51" w:rsidRPr="009D5C51">
              <w:rPr>
                <w:webHidden/>
                <w:sz w:val="24"/>
              </w:rPr>
            </w:r>
            <w:r w:rsidR="009D5C51" w:rsidRPr="009D5C51">
              <w:rPr>
                <w:webHidden/>
                <w:sz w:val="24"/>
              </w:rPr>
              <w:fldChar w:fldCharType="separate"/>
            </w:r>
            <w:r w:rsidR="00B63EFD">
              <w:rPr>
                <w:webHidden/>
                <w:sz w:val="24"/>
              </w:rPr>
              <w:t>52</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3" w:history="1">
            <w:r w:rsidR="009D5C51" w:rsidRPr="009D5C51">
              <w:rPr>
                <w:rStyle w:val="af4"/>
                <w:sz w:val="24"/>
              </w:rPr>
              <w:t>Информация о реализации непрофильных активов в 2023 году</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_Toc163738873 \h </w:instrText>
            </w:r>
            <w:r w:rsidR="009D5C51" w:rsidRPr="009D5C51">
              <w:rPr>
                <w:webHidden/>
                <w:sz w:val="24"/>
              </w:rPr>
            </w:r>
            <w:r w:rsidR="009D5C51" w:rsidRPr="009D5C51">
              <w:rPr>
                <w:webHidden/>
                <w:sz w:val="24"/>
              </w:rPr>
              <w:fldChar w:fldCharType="separate"/>
            </w:r>
            <w:r w:rsidR="00B63EFD">
              <w:rPr>
                <w:webHidden/>
                <w:sz w:val="24"/>
              </w:rPr>
              <w:t>57</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4" w:history="1">
            <w:r w:rsidR="009D5C51" w:rsidRPr="009D5C51">
              <w:rPr>
                <w:rStyle w:val="af4"/>
                <w:sz w:val="24"/>
              </w:rPr>
              <w:t>Отчет о корпоративном управлении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_Toc163738874 \h </w:instrText>
            </w:r>
            <w:r w:rsidR="009D5C51" w:rsidRPr="009D5C51">
              <w:rPr>
                <w:webHidden/>
                <w:sz w:val="24"/>
              </w:rPr>
            </w:r>
            <w:r w:rsidR="009D5C51" w:rsidRPr="009D5C51">
              <w:rPr>
                <w:webHidden/>
                <w:sz w:val="24"/>
              </w:rPr>
              <w:fldChar w:fldCharType="separate"/>
            </w:r>
            <w:r w:rsidR="00B63EFD">
              <w:rPr>
                <w:webHidden/>
                <w:sz w:val="24"/>
              </w:rPr>
              <w:t>57</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5" w:history="1">
            <w:r w:rsidR="009D5C51" w:rsidRPr="009D5C51">
              <w:rPr>
                <w:rStyle w:val="af4"/>
                <w:sz w:val="24"/>
              </w:rPr>
              <w:t>Общая информация о корпоративном управлении в Компании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_Toc163738875 \h </w:instrText>
            </w:r>
            <w:r w:rsidR="009D5C51" w:rsidRPr="009D5C51">
              <w:rPr>
                <w:webHidden/>
                <w:sz w:val="24"/>
              </w:rPr>
            </w:r>
            <w:r w:rsidR="009D5C51" w:rsidRPr="009D5C51">
              <w:rPr>
                <w:webHidden/>
                <w:sz w:val="24"/>
              </w:rPr>
              <w:fldChar w:fldCharType="separate"/>
            </w:r>
            <w:r w:rsidR="00B63EFD">
              <w:rPr>
                <w:webHidden/>
                <w:sz w:val="24"/>
              </w:rPr>
              <w:t>57</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6" w:history="1">
            <w:r w:rsidR="009D5C51" w:rsidRPr="009D5C51">
              <w:rPr>
                <w:rStyle w:val="af4"/>
                <w:sz w:val="24"/>
              </w:rPr>
              <w:t>Общее собрание акционеров</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_Toc163738876 \h </w:instrText>
            </w:r>
            <w:r w:rsidR="009D5C51" w:rsidRPr="009D5C51">
              <w:rPr>
                <w:webHidden/>
                <w:sz w:val="24"/>
              </w:rPr>
            </w:r>
            <w:r w:rsidR="009D5C51" w:rsidRPr="009D5C51">
              <w:rPr>
                <w:webHidden/>
                <w:sz w:val="24"/>
              </w:rPr>
              <w:fldChar w:fldCharType="separate"/>
            </w:r>
            <w:r w:rsidR="00B63EFD">
              <w:rPr>
                <w:webHidden/>
                <w:sz w:val="24"/>
              </w:rPr>
              <w:t>59</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7" w:history="1">
            <w:r w:rsidR="009D5C51" w:rsidRPr="009D5C51">
              <w:rPr>
                <w:rStyle w:val="af4"/>
                <w:sz w:val="24"/>
              </w:rPr>
              <w:t>Правление</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_Toc163738877 \h </w:instrText>
            </w:r>
            <w:r w:rsidR="009D5C51" w:rsidRPr="009D5C51">
              <w:rPr>
                <w:webHidden/>
                <w:sz w:val="24"/>
              </w:rPr>
            </w:r>
            <w:r w:rsidR="009D5C51" w:rsidRPr="009D5C51">
              <w:rPr>
                <w:webHidden/>
                <w:sz w:val="24"/>
              </w:rPr>
              <w:fldChar w:fldCharType="separate"/>
            </w:r>
            <w:r w:rsidR="00B63EFD">
              <w:rPr>
                <w:webHidden/>
                <w:sz w:val="24"/>
              </w:rPr>
              <w:t>68</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8" w:history="1">
            <w:r w:rsidR="009D5C51" w:rsidRPr="009D5C51">
              <w:rPr>
                <w:rStyle w:val="af4"/>
                <w:sz w:val="24"/>
              </w:rPr>
              <w:t>Корпоративный секретарь Общества</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_Toc163738878 \h </w:instrText>
            </w:r>
            <w:r w:rsidR="009D5C51" w:rsidRPr="009D5C51">
              <w:rPr>
                <w:webHidden/>
                <w:sz w:val="24"/>
              </w:rPr>
            </w:r>
            <w:r w:rsidR="009D5C51" w:rsidRPr="009D5C51">
              <w:rPr>
                <w:webHidden/>
                <w:sz w:val="24"/>
              </w:rPr>
              <w:fldChar w:fldCharType="separate"/>
            </w:r>
            <w:r w:rsidR="00B63EFD">
              <w:rPr>
                <w:webHidden/>
                <w:sz w:val="24"/>
              </w:rPr>
              <w:t>68</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79" w:history="1">
            <w:r w:rsidR="009D5C51" w:rsidRPr="009D5C51">
              <w:rPr>
                <w:rStyle w:val="af4"/>
                <w:sz w:val="24"/>
              </w:rPr>
              <w:t>Генеральный директор Общества</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_Toc163738879 \h </w:instrText>
            </w:r>
            <w:r w:rsidR="009D5C51" w:rsidRPr="009D5C51">
              <w:rPr>
                <w:webHidden/>
                <w:sz w:val="24"/>
              </w:rPr>
            </w:r>
            <w:r w:rsidR="009D5C51" w:rsidRPr="009D5C51">
              <w:rPr>
                <w:webHidden/>
                <w:sz w:val="24"/>
              </w:rPr>
              <w:fldChar w:fldCharType="separate"/>
            </w:r>
            <w:r w:rsidR="00B63EFD">
              <w:rPr>
                <w:webHidden/>
                <w:sz w:val="24"/>
              </w:rPr>
              <w:t>69</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0" w:history="1">
            <w:r w:rsidR="009D5C51" w:rsidRPr="009D5C51">
              <w:rPr>
                <w:rStyle w:val="af4"/>
                <w:sz w:val="24"/>
              </w:rPr>
              <w:t>Система вознаграждения органов управления Компании</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_Toc163738880 \h </w:instrText>
            </w:r>
            <w:r w:rsidR="009D5C51" w:rsidRPr="009D5C51">
              <w:rPr>
                <w:webHidden/>
                <w:sz w:val="24"/>
              </w:rPr>
            </w:r>
            <w:r w:rsidR="009D5C51" w:rsidRPr="009D5C51">
              <w:rPr>
                <w:webHidden/>
                <w:sz w:val="24"/>
              </w:rPr>
              <w:fldChar w:fldCharType="separate"/>
            </w:r>
            <w:r w:rsidR="00B63EFD">
              <w:rPr>
                <w:webHidden/>
                <w:sz w:val="24"/>
              </w:rPr>
              <w:t>70</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1" w:history="1">
            <w:r w:rsidR="009D5C51" w:rsidRPr="009D5C51">
              <w:rPr>
                <w:rStyle w:val="af4"/>
                <w:sz w:val="24"/>
              </w:rPr>
              <w:t>Вознаграждение членов Совета директоров</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_Toc163738881 \h </w:instrText>
            </w:r>
            <w:r w:rsidR="009D5C51" w:rsidRPr="009D5C51">
              <w:rPr>
                <w:webHidden/>
                <w:sz w:val="24"/>
              </w:rPr>
            </w:r>
            <w:r w:rsidR="009D5C51" w:rsidRPr="009D5C51">
              <w:rPr>
                <w:webHidden/>
                <w:sz w:val="24"/>
              </w:rPr>
              <w:fldChar w:fldCharType="separate"/>
            </w:r>
            <w:r w:rsidR="00B63EFD">
              <w:rPr>
                <w:webHidden/>
                <w:sz w:val="24"/>
              </w:rPr>
              <w:t>70</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2" w:history="1">
            <w:r w:rsidR="009D5C51" w:rsidRPr="009D5C51">
              <w:rPr>
                <w:rStyle w:val="af4"/>
                <w:sz w:val="24"/>
              </w:rPr>
              <w:t>Система вознаграждения Генерального директора Общества</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_Toc163738882 \h </w:instrText>
            </w:r>
            <w:r w:rsidR="009D5C51" w:rsidRPr="009D5C51">
              <w:rPr>
                <w:webHidden/>
                <w:sz w:val="24"/>
              </w:rPr>
            </w:r>
            <w:r w:rsidR="009D5C51" w:rsidRPr="009D5C51">
              <w:rPr>
                <w:webHidden/>
                <w:sz w:val="24"/>
              </w:rPr>
              <w:fldChar w:fldCharType="separate"/>
            </w:r>
            <w:r w:rsidR="00B63EFD">
              <w:rPr>
                <w:webHidden/>
                <w:sz w:val="24"/>
              </w:rPr>
              <w:t>71</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3" w:history="1">
            <w:r w:rsidR="009D5C51" w:rsidRPr="009D5C51">
              <w:rPr>
                <w:rStyle w:val="af4"/>
                <w:sz w:val="24"/>
              </w:rPr>
              <w:t>Управление рисками и внутренний контроль</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_Toc163738883 \h </w:instrText>
            </w:r>
            <w:r w:rsidR="009D5C51" w:rsidRPr="009D5C51">
              <w:rPr>
                <w:webHidden/>
                <w:sz w:val="24"/>
              </w:rPr>
            </w:r>
            <w:r w:rsidR="009D5C51" w:rsidRPr="009D5C51">
              <w:rPr>
                <w:webHidden/>
                <w:sz w:val="24"/>
              </w:rPr>
              <w:fldChar w:fldCharType="separate"/>
            </w:r>
            <w:r w:rsidR="00B63EFD">
              <w:rPr>
                <w:webHidden/>
                <w:sz w:val="24"/>
              </w:rPr>
              <w:t>71</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4" w:history="1">
            <w:r w:rsidR="009D5C51" w:rsidRPr="009D5C51">
              <w:rPr>
                <w:rStyle w:val="af4"/>
                <w:sz w:val="24"/>
              </w:rPr>
              <w:t>Ревизионная комиссия</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_Toc163738884 \h </w:instrText>
            </w:r>
            <w:r w:rsidR="009D5C51" w:rsidRPr="009D5C51">
              <w:rPr>
                <w:webHidden/>
                <w:sz w:val="24"/>
              </w:rPr>
            </w:r>
            <w:r w:rsidR="009D5C51" w:rsidRPr="009D5C51">
              <w:rPr>
                <w:webHidden/>
                <w:sz w:val="24"/>
              </w:rPr>
              <w:fldChar w:fldCharType="separate"/>
            </w:r>
            <w:r w:rsidR="00B63EFD">
              <w:rPr>
                <w:webHidden/>
                <w:sz w:val="24"/>
              </w:rPr>
              <w:t>72</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5" w:history="1">
            <w:r w:rsidR="009D5C51" w:rsidRPr="009D5C51">
              <w:rPr>
                <w:rStyle w:val="af4"/>
                <w:rFonts w:eastAsia="Calibri"/>
                <w:sz w:val="24"/>
                <w:lang w:eastAsia="en-US"/>
              </w:rPr>
              <w:t>Внешний аудитор</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_Toc163738885 \h </w:instrText>
            </w:r>
            <w:r w:rsidR="009D5C51" w:rsidRPr="009D5C51">
              <w:rPr>
                <w:webHidden/>
                <w:sz w:val="24"/>
              </w:rPr>
            </w:r>
            <w:r w:rsidR="009D5C51" w:rsidRPr="009D5C51">
              <w:rPr>
                <w:webHidden/>
                <w:sz w:val="24"/>
              </w:rPr>
              <w:fldChar w:fldCharType="separate"/>
            </w:r>
            <w:r w:rsidR="00B63EFD">
              <w:rPr>
                <w:webHidden/>
                <w:sz w:val="24"/>
              </w:rPr>
              <w:t>76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6" w:history="1">
            <w:r w:rsidR="009D5C51" w:rsidRPr="009D5C51">
              <w:rPr>
                <w:rStyle w:val="af4"/>
                <w:sz w:val="24"/>
              </w:rPr>
              <w:t>Акционерный капитал, обращение ценных бумаг</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_Toc163738886 \h </w:instrText>
            </w:r>
            <w:r w:rsidR="009D5C51" w:rsidRPr="009D5C51">
              <w:rPr>
                <w:webHidden/>
                <w:sz w:val="24"/>
              </w:rPr>
            </w:r>
            <w:r w:rsidR="009D5C51" w:rsidRPr="009D5C51">
              <w:rPr>
                <w:webHidden/>
                <w:sz w:val="24"/>
              </w:rPr>
              <w:fldChar w:fldCharType="separate"/>
            </w:r>
            <w:r w:rsidR="00B63EFD">
              <w:rPr>
                <w:webHidden/>
                <w:sz w:val="24"/>
              </w:rPr>
              <w:t>76</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7" w:history="1">
            <w:r w:rsidR="009D5C51" w:rsidRPr="009D5C51">
              <w:rPr>
                <w:rStyle w:val="af4"/>
                <w:sz w:val="24"/>
              </w:rPr>
              <w:t>Информация об участии Общества в некоммерческих организациях в 2023 году</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_Toc163738887 \h </w:instrText>
            </w:r>
            <w:r w:rsidR="009D5C51" w:rsidRPr="009D5C51">
              <w:rPr>
                <w:webHidden/>
                <w:sz w:val="24"/>
              </w:rPr>
            </w:r>
            <w:r w:rsidR="009D5C51" w:rsidRPr="009D5C51">
              <w:rPr>
                <w:webHidden/>
                <w:sz w:val="24"/>
              </w:rPr>
              <w:fldChar w:fldCharType="separate"/>
            </w:r>
            <w:r w:rsidR="00B63EFD">
              <w:rPr>
                <w:webHidden/>
                <w:sz w:val="24"/>
              </w:rPr>
              <w:t>80</w:t>
            </w:r>
            <w:r w:rsidR="009D5C51" w:rsidRPr="009D5C51">
              <w:rPr>
                <w:webHidden/>
                <w:sz w:val="24"/>
              </w:rPr>
              <w:fldChar w:fldCharType="end"/>
            </w:r>
          </w:hyperlink>
        </w:p>
        <w:p w:rsidR="009D5C51" w:rsidRPr="009D5C51" w:rsidRDefault="00117A83">
          <w:pPr>
            <w:pStyle w:val="1f1"/>
            <w:rPr>
              <w:rFonts w:asciiTheme="minorHAnsi" w:eastAsiaTheme="minorEastAsia" w:hAnsiTheme="minorHAnsi" w:cstheme="minorBidi"/>
              <w:b w:val="0"/>
              <w:bCs w:val="0"/>
              <w:iCs w:val="0"/>
              <w:sz w:val="24"/>
              <w:lang w:eastAsia="ru-RU"/>
            </w:rPr>
          </w:pPr>
          <w:hyperlink w:anchor="_Toc163738888" w:history="1">
            <w:r w:rsidR="009D5C51" w:rsidRPr="009D5C51">
              <w:rPr>
                <w:rStyle w:val="af4"/>
                <w:sz w:val="24"/>
              </w:rPr>
              <w:t>Контактная информация</w:t>
            </w:r>
            <w:r w:rsidR="009D5C51" w:rsidRPr="009D5C51">
              <w:rPr>
                <w:webHidden/>
                <w:sz w:val="24"/>
              </w:rPr>
              <w:tab/>
            </w:r>
            <w:r w:rsidR="009D5C51" w:rsidRPr="009D5C51">
              <w:rPr>
                <w:webHidden/>
                <w:sz w:val="24"/>
              </w:rPr>
              <w:fldChar w:fldCharType="begin"/>
            </w:r>
            <w:r w:rsidR="009D5C51" w:rsidRPr="009D5C51">
              <w:rPr>
                <w:webHidden/>
                <w:sz w:val="24"/>
              </w:rPr>
              <w:instrText xml:space="preserve"> PAGEREF _Toc163738888 \h </w:instrText>
            </w:r>
            <w:r w:rsidR="009D5C51" w:rsidRPr="009D5C51">
              <w:rPr>
                <w:webHidden/>
                <w:sz w:val="24"/>
              </w:rPr>
            </w:r>
            <w:r w:rsidR="009D5C51" w:rsidRPr="009D5C51">
              <w:rPr>
                <w:webHidden/>
                <w:sz w:val="24"/>
              </w:rPr>
              <w:fldChar w:fldCharType="separate"/>
            </w:r>
            <w:r w:rsidR="00B63EFD">
              <w:rPr>
                <w:webHidden/>
                <w:sz w:val="24"/>
              </w:rPr>
              <w:t>81</w:t>
            </w:r>
            <w:r w:rsidR="009D5C51" w:rsidRPr="009D5C51">
              <w:rPr>
                <w:webHidden/>
                <w:sz w:val="24"/>
              </w:rPr>
              <w:fldChar w:fldCharType="end"/>
            </w:r>
          </w:hyperlink>
        </w:p>
        <w:p w:rsidR="00AA77F4" w:rsidRPr="00B86E64" w:rsidRDefault="00123495" w:rsidP="007C7C02">
          <w:pPr>
            <w:spacing w:after="0" w:line="240" w:lineRule="auto"/>
            <w:rPr>
              <w:b/>
              <w:bCs/>
              <w:sz w:val="24"/>
              <w:szCs w:val="24"/>
            </w:rPr>
          </w:pPr>
          <w:r w:rsidRPr="009D5C51">
            <w:rPr>
              <w:rFonts w:ascii="Times New Roman" w:eastAsia="Times New Roman" w:hAnsi="Times New Roman" w:cs="Times New Roman"/>
              <w:iCs/>
              <w:noProof/>
              <w:sz w:val="24"/>
              <w:szCs w:val="24"/>
              <w:lang w:eastAsia="ru-RU"/>
            </w:rPr>
            <w:fldChar w:fldCharType="end"/>
          </w:r>
        </w:p>
      </w:sdtContent>
    </w:sdt>
    <w:p w:rsidR="00A87856" w:rsidRPr="00B369F9" w:rsidRDefault="00A87856" w:rsidP="007C7C02">
      <w:pPr>
        <w:spacing w:after="0" w:line="240" w:lineRule="auto"/>
        <w:rPr>
          <w:rFonts w:ascii="Times New Roman" w:hAnsi="Times New Roman" w:cs="Times New Roman"/>
          <w:b/>
          <w:sz w:val="24"/>
          <w:szCs w:val="24"/>
        </w:rPr>
      </w:pPr>
      <w:r w:rsidRPr="00B369F9">
        <w:rPr>
          <w:rFonts w:ascii="Times New Roman" w:hAnsi="Times New Roman" w:cs="Times New Roman"/>
          <w:b/>
          <w:sz w:val="24"/>
          <w:szCs w:val="24"/>
        </w:rPr>
        <w:t xml:space="preserve">Приложения </w:t>
      </w:r>
    </w:p>
    <w:p w:rsidR="00A87856" w:rsidRPr="00B369F9" w:rsidRDefault="00A87856" w:rsidP="006148A8">
      <w:pPr>
        <w:pStyle w:val="af8"/>
        <w:numPr>
          <w:ilvl w:val="0"/>
          <w:numId w:val="3"/>
        </w:numPr>
        <w:rPr>
          <w:rFonts w:ascii="Times New Roman" w:hAnsi="Times New Roman" w:cs="Times New Roman"/>
          <w:b/>
          <w:sz w:val="24"/>
          <w:szCs w:val="24"/>
        </w:rPr>
      </w:pPr>
      <w:r w:rsidRPr="00B369F9">
        <w:rPr>
          <w:rFonts w:ascii="Times New Roman" w:hAnsi="Times New Roman" w:cs="Times New Roman"/>
          <w:b/>
          <w:sz w:val="24"/>
          <w:szCs w:val="24"/>
        </w:rPr>
        <w:t>Бухгалтерская (финансовая) отчетность по РСБУ за 202</w:t>
      </w:r>
      <w:r w:rsidR="009113A3" w:rsidRPr="00B369F9">
        <w:rPr>
          <w:rFonts w:ascii="Times New Roman" w:hAnsi="Times New Roman" w:cs="Times New Roman"/>
          <w:b/>
          <w:sz w:val="24"/>
          <w:szCs w:val="24"/>
        </w:rPr>
        <w:t>3</w:t>
      </w:r>
      <w:r w:rsidRPr="00B369F9">
        <w:rPr>
          <w:rFonts w:ascii="Times New Roman" w:hAnsi="Times New Roman" w:cs="Times New Roman"/>
          <w:b/>
          <w:sz w:val="24"/>
          <w:szCs w:val="24"/>
        </w:rPr>
        <w:t xml:space="preserve"> год с аудиторским заключением…………………………………………………………………………</w:t>
      </w:r>
      <w:r w:rsidR="00B81418" w:rsidRPr="00B369F9">
        <w:rPr>
          <w:rFonts w:ascii="Times New Roman" w:hAnsi="Times New Roman" w:cs="Times New Roman"/>
          <w:b/>
          <w:sz w:val="24"/>
          <w:szCs w:val="24"/>
        </w:rPr>
        <w:t>...</w:t>
      </w:r>
      <w:r w:rsidR="00B30D1F">
        <w:rPr>
          <w:rFonts w:ascii="Times New Roman" w:hAnsi="Times New Roman" w:cs="Times New Roman"/>
          <w:b/>
          <w:sz w:val="24"/>
          <w:szCs w:val="24"/>
        </w:rPr>
        <w:t>8</w:t>
      </w:r>
      <w:r w:rsidR="00922A49">
        <w:rPr>
          <w:rFonts w:ascii="Times New Roman" w:hAnsi="Times New Roman" w:cs="Times New Roman"/>
          <w:b/>
          <w:sz w:val="24"/>
          <w:szCs w:val="24"/>
        </w:rPr>
        <w:t>2</w:t>
      </w:r>
    </w:p>
    <w:p w:rsidR="00847A52" w:rsidRPr="00B369F9" w:rsidRDefault="00A87856" w:rsidP="006148A8">
      <w:pPr>
        <w:pStyle w:val="af8"/>
        <w:numPr>
          <w:ilvl w:val="0"/>
          <w:numId w:val="3"/>
        </w:numPr>
        <w:rPr>
          <w:rFonts w:ascii="Times New Roman" w:hAnsi="Times New Roman" w:cs="Times New Roman"/>
          <w:b/>
          <w:sz w:val="24"/>
          <w:szCs w:val="24"/>
        </w:rPr>
      </w:pPr>
      <w:r w:rsidRPr="00B369F9">
        <w:rPr>
          <w:rFonts w:ascii="Times New Roman" w:hAnsi="Times New Roman" w:cs="Times New Roman"/>
          <w:b/>
          <w:sz w:val="24"/>
          <w:szCs w:val="24"/>
        </w:rPr>
        <w:t>Информация о крупных сделках и сделках, совершенных в отчетном году, признаваемых в соответствии с законодательством Российской Федерации сделками, в совершении которых имелась заинтересованность…………..….</w:t>
      </w:r>
      <w:r w:rsidR="00922A49">
        <w:rPr>
          <w:rFonts w:ascii="Times New Roman" w:hAnsi="Times New Roman" w:cs="Times New Roman"/>
          <w:b/>
          <w:sz w:val="24"/>
          <w:szCs w:val="24"/>
        </w:rPr>
        <w:t>150</w:t>
      </w:r>
    </w:p>
    <w:p w:rsidR="00237FA8" w:rsidRDefault="00237FA8">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3F39BC" w:rsidRPr="00B369F9" w:rsidRDefault="00B91BF5" w:rsidP="00BD62F2">
      <w:pPr>
        <w:pStyle w:val="1"/>
        <w:ind w:firstLine="709"/>
      </w:pPr>
      <w:bookmarkStart w:id="3" w:name="_Toc163738852"/>
      <w:r w:rsidRPr="00B369F9">
        <w:lastRenderedPageBreak/>
        <w:t>Обращение Председателя Совета директоров АО «Чеченэнерго»</w:t>
      </w:r>
      <w:bookmarkEnd w:id="3"/>
    </w:p>
    <w:p w:rsidR="00847A52" w:rsidRPr="00B369F9" w:rsidRDefault="00847A52" w:rsidP="007C7C02">
      <w:pPr>
        <w:spacing w:after="0" w:line="240" w:lineRule="auto"/>
        <w:rPr>
          <w:sz w:val="24"/>
          <w:szCs w:val="24"/>
          <w:lang w:eastAsia="ru-RU"/>
        </w:rPr>
      </w:pPr>
    </w:p>
    <w:p w:rsidR="00B91BF5" w:rsidRPr="00B369F9" w:rsidRDefault="00B91BF5" w:rsidP="007C7C02">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sz w:val="24"/>
          <w:szCs w:val="24"/>
        </w:rPr>
        <w:t>Уважаемые акционеры!</w:t>
      </w:r>
    </w:p>
    <w:p w:rsidR="00D10CBB" w:rsidRPr="00B369F9" w:rsidRDefault="00D10CBB" w:rsidP="00D10CBB">
      <w:pPr>
        <w:spacing w:after="0" w:line="240" w:lineRule="auto"/>
        <w:ind w:firstLine="709"/>
        <w:jc w:val="both"/>
        <w:rPr>
          <w:rFonts w:ascii="Times New Roman" w:eastAsia="Calibri" w:hAnsi="Times New Roman" w:cs="Times New Roman"/>
          <w:sz w:val="24"/>
          <w:szCs w:val="24"/>
        </w:rPr>
      </w:pP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В 2023 году продолжалось активное развитие электросетевого комплекса Чеченской Республики: реализован план мероприятий эксплуатации, технического обслуживания и ремонта энергообъектов АО «Чеченэнерго», построены новые и модернизированы существующие линии электропередачи и электрооборудование.</w:t>
      </w: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Для развития электросетевого комплекса Чеченской Республики ПАО «Россети» продолжает оказывать финансовую поддержку АО «Чеченэнерго» через докапитализацию компании в рамках проведения эмиссии дополнительных акций. В течение 2023 года АО</w:t>
      </w:r>
      <w:r>
        <w:rPr>
          <w:rFonts w:ascii="Times New Roman" w:eastAsia="Calibri" w:hAnsi="Times New Roman" w:cs="Times New Roman"/>
          <w:sz w:val="24"/>
          <w:szCs w:val="24"/>
        </w:rPr>
        <w:t> </w:t>
      </w:r>
      <w:r w:rsidRPr="00617822">
        <w:rPr>
          <w:rFonts w:ascii="Times New Roman" w:eastAsia="Calibri" w:hAnsi="Times New Roman" w:cs="Times New Roman"/>
          <w:sz w:val="24"/>
          <w:szCs w:val="24"/>
        </w:rPr>
        <w:t>«Чеченэнерго» разместило в пользу ПАО «Россети» дополнительные акции на общую сумму 4,8 млрд рублей. Полученные средства направлены на реализацию важнейших проектов для повышения надежности электроснабжения потребителей и развития электросетевой инфраструктуры, создание необходимых условий для социально-экономического развития Чеченской Республики.</w:t>
      </w: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Стабильной, слаженной и результативной работе АО «Чеченэнерго» в отчетном году способствовал Совет директоров, на заседаниях которого принимались решения по ключевым вопросам, направленным на обеспечение стратегического управления компанией, прозрачности деятельности и соблюдения прав акционеров.</w:t>
      </w: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 xml:space="preserve">В отчетном году усилия Совета директоров АО «Чеченэнерго» были направлены на решение ключевых задач развития, финансовую стабилизацию, сокращение потерь электроэнергии в сетях, повышение платежной дисциплины потребителей, совершенствование практики корпоративного управления. </w:t>
      </w: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 xml:space="preserve">В отчетном году Советом директоров компании утверждены План развития </w:t>
      </w:r>
    </w:p>
    <w:p w:rsidR="00617822" w:rsidRPr="00617822"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АО «Чеченэнерго» и План (Программа) снижения потерь электрической энергии в электрических сетях на 2023-2027 годы.</w:t>
      </w:r>
    </w:p>
    <w:p w:rsidR="00D10CBB" w:rsidRPr="00B369F9" w:rsidRDefault="00617822" w:rsidP="00617822">
      <w:pPr>
        <w:spacing w:after="0" w:line="240" w:lineRule="auto"/>
        <w:ind w:firstLine="709"/>
        <w:jc w:val="both"/>
        <w:rPr>
          <w:rFonts w:ascii="Times New Roman" w:eastAsia="Calibri" w:hAnsi="Times New Roman" w:cs="Times New Roman"/>
          <w:sz w:val="24"/>
          <w:szCs w:val="24"/>
        </w:rPr>
      </w:pPr>
      <w:r w:rsidRPr="00617822">
        <w:rPr>
          <w:rFonts w:ascii="Times New Roman" w:eastAsia="Calibri" w:hAnsi="Times New Roman" w:cs="Times New Roman"/>
          <w:sz w:val="24"/>
          <w:szCs w:val="24"/>
        </w:rPr>
        <w:t>Совет директоров продолжит уделять первостепенное внимание вопросам корпоративного управления компании, её открытости, и ставит перед собой задачи по дальнейшему повышению эффективности деятельности АО «Чеченэнерго», надежности и качества обслуживания потребителей, развитию корпоративной культуры.</w:t>
      </w:r>
    </w:p>
    <w:p w:rsidR="00D10CBB" w:rsidRPr="00B369F9" w:rsidRDefault="00D10CBB" w:rsidP="00D10CBB">
      <w:pPr>
        <w:spacing w:after="0" w:line="240" w:lineRule="auto"/>
        <w:ind w:firstLine="709"/>
        <w:jc w:val="both"/>
        <w:rPr>
          <w:rFonts w:ascii="Times New Roman" w:eastAsia="Calibri" w:hAnsi="Times New Roman" w:cs="Times New Roman"/>
          <w:sz w:val="24"/>
          <w:szCs w:val="24"/>
        </w:rPr>
      </w:pPr>
    </w:p>
    <w:p w:rsidR="00D10CBB" w:rsidRPr="00B369F9" w:rsidRDefault="00D10CBB" w:rsidP="00D10CBB">
      <w:pPr>
        <w:spacing w:after="0" w:line="240" w:lineRule="auto"/>
        <w:ind w:firstLine="709"/>
        <w:jc w:val="both"/>
        <w:rPr>
          <w:rFonts w:ascii="Times New Roman" w:eastAsia="Calibri" w:hAnsi="Times New Roman" w:cs="Times New Roman"/>
          <w:sz w:val="24"/>
          <w:szCs w:val="24"/>
        </w:rPr>
      </w:pPr>
    </w:p>
    <w:p w:rsidR="00D10CBB" w:rsidRPr="00B369F9" w:rsidRDefault="00D10CBB" w:rsidP="00D10CBB">
      <w:pPr>
        <w:spacing w:after="0" w:line="240" w:lineRule="auto"/>
        <w:ind w:firstLine="709"/>
        <w:jc w:val="both"/>
        <w:rPr>
          <w:rFonts w:ascii="Times New Roman" w:eastAsia="Calibri" w:hAnsi="Times New Roman" w:cs="Times New Roman"/>
          <w:sz w:val="24"/>
          <w:szCs w:val="24"/>
        </w:rPr>
      </w:pPr>
    </w:p>
    <w:p w:rsidR="00D10CBB" w:rsidRPr="00B369F9" w:rsidRDefault="00D10CBB" w:rsidP="00D10CBB">
      <w:pPr>
        <w:spacing w:after="0" w:line="240" w:lineRule="auto"/>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 уважением,</w:t>
      </w:r>
    </w:p>
    <w:p w:rsidR="00B91BF5" w:rsidRPr="00B369F9" w:rsidRDefault="00D10CBB" w:rsidP="00903D1C">
      <w:pPr>
        <w:spacing w:after="0" w:line="240" w:lineRule="auto"/>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Председатель Совета директоров</w:t>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r>
      <w:r w:rsidRPr="00B369F9">
        <w:rPr>
          <w:rFonts w:ascii="Times New Roman" w:eastAsia="Calibri" w:hAnsi="Times New Roman" w:cs="Times New Roman"/>
          <w:sz w:val="24"/>
          <w:szCs w:val="24"/>
        </w:rPr>
        <w:tab/>
        <w:t xml:space="preserve">   И.С. Кадиров</w:t>
      </w:r>
    </w:p>
    <w:p w:rsidR="00B91BF5" w:rsidRPr="00B369F9" w:rsidRDefault="00B91BF5" w:rsidP="007C7C02">
      <w:pPr>
        <w:spacing w:after="0" w:line="240" w:lineRule="auto"/>
        <w:rPr>
          <w:rFonts w:ascii="Times New Roman" w:eastAsia="Calibri" w:hAnsi="Times New Roman" w:cs="Times New Roman"/>
          <w:sz w:val="24"/>
          <w:szCs w:val="24"/>
        </w:rPr>
      </w:pPr>
      <w:r w:rsidRPr="00B369F9">
        <w:rPr>
          <w:rFonts w:ascii="Times New Roman" w:eastAsia="Calibri" w:hAnsi="Times New Roman" w:cs="Times New Roman"/>
          <w:sz w:val="24"/>
          <w:szCs w:val="24"/>
        </w:rPr>
        <w:br w:type="page"/>
      </w:r>
    </w:p>
    <w:p w:rsidR="00B91BF5" w:rsidRPr="00B369F9" w:rsidRDefault="00B91BF5" w:rsidP="007C7C02">
      <w:pPr>
        <w:pStyle w:val="1"/>
        <w:ind w:firstLine="709"/>
      </w:pPr>
      <w:bookmarkStart w:id="4" w:name="_Toc163738853"/>
      <w:r w:rsidRPr="00B369F9">
        <w:lastRenderedPageBreak/>
        <w:t>Обращение Генерального директора управляющей организации – ПАО</w:t>
      </w:r>
      <w:r w:rsidR="004E6104" w:rsidRPr="00B369F9">
        <w:t> </w:t>
      </w:r>
      <w:r w:rsidRPr="00B369F9">
        <w:t>«Россети Северный Кавказ»</w:t>
      </w:r>
      <w:bookmarkEnd w:id="4"/>
    </w:p>
    <w:p w:rsidR="00B91BF5" w:rsidRPr="00B369F9" w:rsidRDefault="00B91BF5" w:rsidP="007C7C02">
      <w:pPr>
        <w:spacing w:after="0" w:line="240" w:lineRule="auto"/>
        <w:rPr>
          <w:rFonts w:ascii="Times New Roman" w:hAnsi="Times New Roman" w:cs="Times New Roman"/>
          <w:sz w:val="24"/>
          <w:szCs w:val="24"/>
        </w:rPr>
      </w:pPr>
    </w:p>
    <w:p w:rsidR="00B91BF5" w:rsidRPr="00B369F9" w:rsidRDefault="00B91BF5" w:rsidP="007C7C02">
      <w:pPr>
        <w:spacing w:after="0" w:line="240" w:lineRule="auto"/>
        <w:jc w:val="center"/>
        <w:rPr>
          <w:rFonts w:ascii="Times New Roman" w:hAnsi="Times New Roman" w:cs="Times New Roman"/>
          <w:sz w:val="24"/>
          <w:szCs w:val="24"/>
        </w:rPr>
      </w:pPr>
      <w:r w:rsidRPr="00B369F9">
        <w:rPr>
          <w:rFonts w:ascii="Times New Roman" w:hAnsi="Times New Roman" w:cs="Times New Roman"/>
          <w:sz w:val="24"/>
          <w:szCs w:val="24"/>
        </w:rPr>
        <w:t>Уважаемые акционеры</w:t>
      </w:r>
      <w:r w:rsidR="006E1896" w:rsidRPr="00B369F9">
        <w:rPr>
          <w:rFonts w:ascii="Times New Roman" w:hAnsi="Times New Roman" w:cs="Times New Roman"/>
          <w:sz w:val="24"/>
          <w:szCs w:val="24"/>
        </w:rPr>
        <w:t>, партнеры и коллеги</w:t>
      </w:r>
      <w:r w:rsidRPr="00B369F9">
        <w:rPr>
          <w:rFonts w:ascii="Times New Roman" w:hAnsi="Times New Roman" w:cs="Times New Roman"/>
          <w:sz w:val="24"/>
          <w:szCs w:val="24"/>
        </w:rPr>
        <w:t>!</w:t>
      </w:r>
    </w:p>
    <w:p w:rsidR="00B91BF5" w:rsidRPr="00B369F9" w:rsidRDefault="00B91BF5" w:rsidP="007C7C02">
      <w:pPr>
        <w:spacing w:after="0" w:line="240" w:lineRule="auto"/>
        <w:rPr>
          <w:rFonts w:ascii="Times New Roman" w:eastAsia="Calibri" w:hAnsi="Times New Roman" w:cs="Times New Roman"/>
          <w:sz w:val="24"/>
          <w:szCs w:val="24"/>
        </w:rPr>
      </w:pPr>
    </w:p>
    <w:p w:rsidR="006452E7" w:rsidRPr="00B369F9" w:rsidRDefault="006E1896"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 xml:space="preserve"> </w:t>
      </w:r>
      <w:r w:rsidR="006452E7" w:rsidRPr="00B369F9">
        <w:rPr>
          <w:rFonts w:ascii="Times New Roman" w:hAnsi="Times New Roman" w:cs="Times New Roman"/>
          <w:sz w:val="24"/>
          <w:szCs w:val="24"/>
          <w:lang w:eastAsia="ru-RU"/>
        </w:rPr>
        <w:t>В рамках реализации мероприятий по развитию электросетевого комплекса Чеченской Республики в тесном взаимодействии с республиканскими органами власти и при содействии Оперативного штаба по развитию электроэнергетики Чеченской Республики комплексно решаются вопросы, влияющие на качество и над</w:t>
      </w:r>
      <w:r w:rsidR="002F145F" w:rsidRPr="00B369F9">
        <w:rPr>
          <w:rFonts w:ascii="Times New Roman" w:hAnsi="Times New Roman" w:cs="Times New Roman"/>
          <w:sz w:val="24"/>
          <w:szCs w:val="24"/>
          <w:lang w:eastAsia="ru-RU"/>
        </w:rPr>
        <w:t>е</w:t>
      </w:r>
      <w:r w:rsidR="006452E7" w:rsidRPr="00B369F9">
        <w:rPr>
          <w:rFonts w:ascii="Times New Roman" w:hAnsi="Times New Roman" w:cs="Times New Roman"/>
          <w:sz w:val="24"/>
          <w:szCs w:val="24"/>
          <w:lang w:eastAsia="ru-RU"/>
        </w:rPr>
        <w:t xml:space="preserve">жность электроснабжения потребителей региона. </w:t>
      </w:r>
    </w:p>
    <w:p w:rsidR="006452E7" w:rsidRPr="00B369F9" w:rsidRDefault="006452E7"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 xml:space="preserve">Совместно с Правительством Чеченской Республики АО «Чеченэнерго» приступило к реализации первого этапа Программы модернизации и повышения надежности электросетевого комплекса региона. </w:t>
      </w:r>
    </w:p>
    <w:p w:rsidR="006452E7" w:rsidRPr="00B369F9" w:rsidRDefault="006452E7"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 xml:space="preserve">Завершены проектно-изыскательские работы для технологического присоединения всесезонного горнолыжного курорта «Ведучи» </w:t>
      </w:r>
      <w:r w:rsidR="00CE40DE">
        <w:rPr>
          <w:rFonts w:ascii="Times New Roman" w:hAnsi="Times New Roman" w:cs="Times New Roman"/>
          <w:sz w:val="24"/>
          <w:szCs w:val="24"/>
          <w:lang w:eastAsia="ru-RU"/>
        </w:rPr>
        <w:t>–</w:t>
      </w:r>
      <w:r w:rsidRPr="00B369F9">
        <w:rPr>
          <w:rFonts w:ascii="Times New Roman" w:hAnsi="Times New Roman" w:cs="Times New Roman"/>
          <w:sz w:val="24"/>
          <w:szCs w:val="24"/>
          <w:lang w:eastAsia="ru-RU"/>
        </w:rPr>
        <w:t xml:space="preserve"> одного из крупнейших туристических объектов Северного Кавказа. </w:t>
      </w:r>
    </w:p>
    <w:p w:rsidR="006452E7" w:rsidRPr="00B369F9" w:rsidRDefault="006452E7"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 xml:space="preserve">Активно реализуется Программа снижения потерь электроэнергии в сетях АО «Чеченэнерго». Мероприятия по формированию единой интеллектуальной системы учета завершены в городе Аргуне и проводятся в городах Гудермесе и Грозном. В районных подразделениях завершается реконструкция энергообъектов, установка комплектных трансформаторных подстанций.  </w:t>
      </w:r>
    </w:p>
    <w:p w:rsidR="006A44C0" w:rsidRPr="006A44C0" w:rsidRDefault="006A44C0" w:rsidP="006A44C0">
      <w:pPr>
        <w:spacing w:after="0" w:line="240" w:lineRule="auto"/>
        <w:ind w:firstLine="709"/>
        <w:jc w:val="both"/>
        <w:rPr>
          <w:rFonts w:ascii="Times New Roman" w:hAnsi="Times New Roman" w:cs="Times New Roman"/>
          <w:sz w:val="24"/>
          <w:szCs w:val="24"/>
          <w:lang w:eastAsia="ru-RU"/>
        </w:rPr>
      </w:pPr>
      <w:r w:rsidRPr="006A44C0">
        <w:rPr>
          <w:rFonts w:ascii="Times New Roman" w:hAnsi="Times New Roman" w:cs="Times New Roman"/>
          <w:sz w:val="24"/>
          <w:szCs w:val="24"/>
          <w:lang w:eastAsia="ru-RU"/>
        </w:rPr>
        <w:t xml:space="preserve">АО «Чеченэнерго» в полной мере выполняет обязательства перед потребителями всех категорий, несмотря на ограничения, ставшие следствием макроэкономических изменений. Налажена поставка оборудования и материалов отечественных производителей, которые активно занимают ниши рынка, освободившиеся после ухода производителей из стран-санкционеров. </w:t>
      </w:r>
    </w:p>
    <w:p w:rsidR="006A44C0" w:rsidRDefault="006A44C0" w:rsidP="006A44C0">
      <w:pPr>
        <w:spacing w:after="0" w:line="240" w:lineRule="auto"/>
        <w:ind w:firstLine="709"/>
        <w:jc w:val="both"/>
        <w:rPr>
          <w:rFonts w:ascii="Times New Roman" w:hAnsi="Times New Roman" w:cs="Times New Roman"/>
          <w:sz w:val="24"/>
          <w:szCs w:val="24"/>
          <w:lang w:eastAsia="ru-RU"/>
        </w:rPr>
      </w:pPr>
      <w:r w:rsidRPr="006A44C0">
        <w:rPr>
          <w:rFonts w:ascii="Times New Roman" w:hAnsi="Times New Roman" w:cs="Times New Roman"/>
          <w:sz w:val="24"/>
          <w:szCs w:val="24"/>
          <w:lang w:eastAsia="ru-RU"/>
        </w:rPr>
        <w:t>В 2023 году АО «Чеченэнерго» реализован комплекс мер по повышению уровня платежной дисциплины, в том числе по текущим платежам за потребленную электроэнергию. Обеспечению платежей способствовала как претензионно-исковая деятельность, так и мероприятия с потребителями, включающие рейды по взысканию задолженности, заключение договоров о реструктуризации долга, разъяснительную работу.</w:t>
      </w:r>
    </w:p>
    <w:p w:rsidR="006452E7" w:rsidRPr="00B369F9" w:rsidRDefault="006452E7" w:rsidP="006A44C0">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В 2023 году рост потребления электроэнергии составил 3,98 %, стоимость закупки электроэнергии (мощности) на оптовом рынке электрической энергии и мощности выросла на 13,47 %.</w:t>
      </w:r>
    </w:p>
    <w:p w:rsidR="00617822" w:rsidRPr="00B369F9" w:rsidRDefault="00617822" w:rsidP="00617822">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Выручка компании в отчетном году превысила 8,1 млрд руб</w:t>
      </w:r>
      <w:r>
        <w:rPr>
          <w:rFonts w:ascii="Times New Roman" w:hAnsi="Times New Roman" w:cs="Times New Roman"/>
          <w:sz w:val="24"/>
          <w:szCs w:val="24"/>
          <w:lang w:eastAsia="ru-RU"/>
        </w:rPr>
        <w:t>лей</w:t>
      </w:r>
      <w:r w:rsidRPr="00B369F9">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w:t>
      </w:r>
      <w:r w:rsidRPr="00B369F9">
        <w:rPr>
          <w:rFonts w:ascii="Times New Roman" w:hAnsi="Times New Roman" w:cs="Times New Roman"/>
          <w:sz w:val="24"/>
          <w:szCs w:val="24"/>
          <w:lang w:eastAsia="ru-RU"/>
        </w:rPr>
        <w:t>Оплата за транспортировку электроэнергии произведена в объеме 2,2 млрд руб</w:t>
      </w:r>
      <w:r>
        <w:rPr>
          <w:rFonts w:ascii="Times New Roman" w:hAnsi="Times New Roman" w:cs="Times New Roman"/>
          <w:sz w:val="24"/>
          <w:szCs w:val="24"/>
          <w:lang w:eastAsia="ru-RU"/>
        </w:rPr>
        <w:t>лей</w:t>
      </w:r>
      <w:r w:rsidRPr="00B369F9">
        <w:rPr>
          <w:rFonts w:ascii="Times New Roman" w:hAnsi="Times New Roman" w:cs="Times New Roman"/>
          <w:sz w:val="24"/>
          <w:szCs w:val="24"/>
          <w:lang w:eastAsia="ru-RU"/>
        </w:rPr>
        <w:t>. Задолженность отсутствует.</w:t>
      </w:r>
    </w:p>
    <w:p w:rsidR="006452E7" w:rsidRPr="00B369F9" w:rsidRDefault="006452E7"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На 100 % реализован годовой план мероприятий по ремонту основного оборудования. Своевременно получен паспорт готовности к осенне-зимнему периоду.</w:t>
      </w:r>
    </w:p>
    <w:p w:rsidR="006E1896" w:rsidRPr="00B369F9" w:rsidRDefault="006452E7" w:rsidP="006452E7">
      <w:pPr>
        <w:spacing w:after="0" w:line="240" w:lineRule="auto"/>
        <w:ind w:firstLine="709"/>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Достигнутые результаты стали возможными благодаря стратегическим решениям Совета директоров АО «Чеченэнерго» по ключевым вопросам, направленным на обеспечение качественного управления компании, прозрачности деятельности и соблюдения прав акционеров.</w:t>
      </w:r>
    </w:p>
    <w:p w:rsidR="006E1896" w:rsidRPr="00B369F9" w:rsidRDefault="006E1896" w:rsidP="007C7C02">
      <w:pPr>
        <w:spacing w:after="0" w:line="240" w:lineRule="auto"/>
        <w:jc w:val="both"/>
        <w:rPr>
          <w:rFonts w:ascii="Times New Roman" w:hAnsi="Times New Roman" w:cs="Times New Roman"/>
          <w:sz w:val="24"/>
          <w:szCs w:val="24"/>
          <w:lang w:eastAsia="ru-RU"/>
        </w:rPr>
      </w:pPr>
    </w:p>
    <w:p w:rsidR="006E1896" w:rsidRPr="00B369F9" w:rsidRDefault="006E1896" w:rsidP="007C7C02">
      <w:pPr>
        <w:spacing w:after="0" w:line="240" w:lineRule="auto"/>
        <w:jc w:val="both"/>
        <w:rPr>
          <w:rFonts w:ascii="Times New Roman" w:hAnsi="Times New Roman" w:cs="Times New Roman"/>
          <w:sz w:val="24"/>
          <w:szCs w:val="24"/>
          <w:lang w:eastAsia="ru-RU"/>
        </w:rPr>
      </w:pPr>
    </w:p>
    <w:p w:rsidR="006E1896" w:rsidRPr="00B369F9" w:rsidRDefault="006E1896" w:rsidP="007C7C02">
      <w:pPr>
        <w:spacing w:after="0" w:line="240" w:lineRule="auto"/>
        <w:jc w:val="both"/>
        <w:rPr>
          <w:rFonts w:ascii="Times New Roman" w:hAnsi="Times New Roman" w:cs="Times New Roman"/>
          <w:sz w:val="24"/>
          <w:szCs w:val="24"/>
          <w:lang w:eastAsia="ru-RU"/>
        </w:rPr>
      </w:pPr>
    </w:p>
    <w:p w:rsidR="006E1896" w:rsidRPr="00B369F9" w:rsidRDefault="006E1896" w:rsidP="007C7C02">
      <w:pPr>
        <w:spacing w:after="0" w:line="240" w:lineRule="auto"/>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С уважением,</w:t>
      </w:r>
    </w:p>
    <w:p w:rsidR="000D6084" w:rsidRPr="00B369F9" w:rsidRDefault="00F36DEB" w:rsidP="007C7C02">
      <w:pPr>
        <w:spacing w:after="0" w:line="240" w:lineRule="auto"/>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Г</w:t>
      </w:r>
      <w:r w:rsidR="006E1896" w:rsidRPr="00B369F9">
        <w:rPr>
          <w:rFonts w:ascii="Times New Roman" w:hAnsi="Times New Roman" w:cs="Times New Roman"/>
          <w:sz w:val="24"/>
          <w:szCs w:val="24"/>
          <w:lang w:eastAsia="ru-RU"/>
        </w:rPr>
        <w:t>енеральный директор</w:t>
      </w:r>
      <w:r w:rsidR="000D6084" w:rsidRPr="00B369F9">
        <w:rPr>
          <w:rFonts w:ascii="Times New Roman" w:hAnsi="Times New Roman" w:cs="Times New Roman"/>
          <w:sz w:val="24"/>
          <w:szCs w:val="24"/>
          <w:lang w:eastAsia="ru-RU"/>
        </w:rPr>
        <w:t xml:space="preserve"> </w:t>
      </w:r>
      <w:r w:rsidR="006E1896" w:rsidRPr="00B369F9">
        <w:rPr>
          <w:rFonts w:ascii="Times New Roman" w:hAnsi="Times New Roman" w:cs="Times New Roman"/>
          <w:sz w:val="24"/>
          <w:szCs w:val="24"/>
          <w:lang w:eastAsia="ru-RU"/>
        </w:rPr>
        <w:t xml:space="preserve">управляющей </w:t>
      </w:r>
    </w:p>
    <w:p w:rsidR="000D6084" w:rsidRPr="00B369F9" w:rsidRDefault="006E1896" w:rsidP="007C7C02">
      <w:pPr>
        <w:spacing w:after="0" w:line="240" w:lineRule="auto"/>
        <w:jc w:val="both"/>
        <w:rPr>
          <w:rFonts w:ascii="Times New Roman" w:hAnsi="Times New Roman" w:cs="Times New Roman"/>
          <w:sz w:val="24"/>
          <w:szCs w:val="24"/>
          <w:lang w:eastAsia="ru-RU"/>
        </w:rPr>
      </w:pPr>
      <w:r w:rsidRPr="00B369F9">
        <w:rPr>
          <w:rFonts w:ascii="Times New Roman" w:hAnsi="Times New Roman" w:cs="Times New Roman"/>
          <w:sz w:val="24"/>
          <w:szCs w:val="24"/>
          <w:lang w:eastAsia="ru-RU"/>
        </w:rPr>
        <w:t xml:space="preserve">организации </w:t>
      </w:r>
      <w:r w:rsidR="000D6084" w:rsidRPr="00B369F9">
        <w:rPr>
          <w:rFonts w:ascii="Times New Roman" w:hAnsi="Times New Roman" w:cs="Times New Roman"/>
          <w:sz w:val="24"/>
          <w:szCs w:val="24"/>
          <w:lang w:eastAsia="ru-RU"/>
        </w:rPr>
        <w:t>АО «Чеченэнерго»</w:t>
      </w:r>
    </w:p>
    <w:p w:rsidR="00DF3A52" w:rsidRPr="00B369F9" w:rsidRDefault="006E1896" w:rsidP="007C7C02">
      <w:pPr>
        <w:spacing w:after="0" w:line="240" w:lineRule="auto"/>
        <w:jc w:val="both"/>
        <w:rPr>
          <w:sz w:val="24"/>
          <w:szCs w:val="24"/>
          <w:lang w:eastAsia="ru-RU"/>
        </w:rPr>
      </w:pPr>
      <w:r w:rsidRPr="00B369F9">
        <w:rPr>
          <w:rFonts w:ascii="Times New Roman" w:hAnsi="Times New Roman" w:cs="Times New Roman"/>
          <w:sz w:val="24"/>
          <w:szCs w:val="24"/>
          <w:lang w:eastAsia="ru-RU"/>
        </w:rPr>
        <w:t>– ПАО «Россети Северный Кавказ»</w:t>
      </w:r>
      <w:r w:rsidRPr="00B369F9">
        <w:rPr>
          <w:rFonts w:ascii="Times New Roman" w:hAnsi="Times New Roman" w:cs="Times New Roman"/>
          <w:sz w:val="24"/>
          <w:szCs w:val="24"/>
          <w:lang w:eastAsia="ru-RU"/>
        </w:rPr>
        <w:tab/>
      </w:r>
      <w:r w:rsidRPr="00B369F9">
        <w:rPr>
          <w:rFonts w:ascii="Times New Roman" w:hAnsi="Times New Roman" w:cs="Times New Roman"/>
          <w:sz w:val="24"/>
          <w:szCs w:val="24"/>
          <w:lang w:eastAsia="ru-RU"/>
        </w:rPr>
        <w:tab/>
      </w:r>
      <w:r w:rsidRPr="00B369F9">
        <w:rPr>
          <w:rFonts w:ascii="Times New Roman" w:hAnsi="Times New Roman" w:cs="Times New Roman"/>
          <w:sz w:val="24"/>
          <w:szCs w:val="24"/>
          <w:lang w:eastAsia="ru-RU"/>
        </w:rPr>
        <w:tab/>
      </w:r>
      <w:r w:rsidRPr="00B369F9">
        <w:rPr>
          <w:rFonts w:ascii="Times New Roman" w:hAnsi="Times New Roman" w:cs="Times New Roman"/>
          <w:sz w:val="24"/>
          <w:szCs w:val="24"/>
          <w:lang w:eastAsia="ru-RU"/>
        </w:rPr>
        <w:tab/>
      </w:r>
      <w:r w:rsidRPr="00B369F9">
        <w:rPr>
          <w:rFonts w:ascii="Times New Roman" w:hAnsi="Times New Roman" w:cs="Times New Roman"/>
          <w:sz w:val="24"/>
          <w:szCs w:val="24"/>
          <w:lang w:eastAsia="ru-RU"/>
        </w:rPr>
        <w:tab/>
      </w:r>
      <w:r w:rsidRPr="00B369F9">
        <w:rPr>
          <w:rFonts w:ascii="Times New Roman" w:hAnsi="Times New Roman" w:cs="Times New Roman"/>
          <w:sz w:val="24"/>
          <w:szCs w:val="24"/>
          <w:lang w:eastAsia="ru-RU"/>
        </w:rPr>
        <w:tab/>
        <w:t>Р.А. Левченко</w:t>
      </w:r>
    </w:p>
    <w:bookmarkEnd w:id="2"/>
    <w:p w:rsidR="00872DF6" w:rsidRPr="00B369F9" w:rsidRDefault="00872DF6">
      <w:pPr>
        <w:spacing w:after="160" w:line="259" w:lineRule="auto"/>
        <w:rPr>
          <w:rFonts w:ascii="Times New Roman" w:eastAsia="Times New Roman" w:hAnsi="Times New Roman" w:cs="Times New Roman"/>
          <w:b/>
          <w:bCs/>
          <w:sz w:val="24"/>
          <w:szCs w:val="24"/>
          <w:lang w:eastAsia="ru-RU"/>
        </w:rPr>
      </w:pPr>
      <w:r w:rsidRPr="00B369F9">
        <w:rPr>
          <w:sz w:val="24"/>
          <w:szCs w:val="24"/>
        </w:rPr>
        <w:br w:type="page"/>
      </w:r>
    </w:p>
    <w:p w:rsidR="003F39BC" w:rsidRPr="00B369F9" w:rsidRDefault="003F39BC" w:rsidP="007C7C02">
      <w:pPr>
        <w:pStyle w:val="1"/>
        <w:ind w:firstLine="709"/>
      </w:pPr>
      <w:bookmarkStart w:id="5" w:name="_Toc163738854"/>
      <w:r w:rsidRPr="00B369F9">
        <w:lastRenderedPageBreak/>
        <w:t>О Компании</w:t>
      </w:r>
      <w:bookmarkEnd w:id="5"/>
    </w:p>
    <w:p w:rsidR="00DF3A52" w:rsidRPr="00B369F9" w:rsidRDefault="00DF3A52" w:rsidP="007C7C02">
      <w:pPr>
        <w:tabs>
          <w:tab w:val="left" w:pos="993"/>
        </w:tabs>
        <w:spacing w:after="0" w:line="240" w:lineRule="auto"/>
        <w:ind w:right="-143"/>
        <w:contextualSpacing/>
        <w:jc w:val="both"/>
        <w:rPr>
          <w:rFonts w:ascii="Times New Roman" w:hAnsi="Times New Roman" w:cs="Times New Roman"/>
          <w:sz w:val="24"/>
          <w:szCs w:val="24"/>
        </w:rPr>
      </w:pPr>
    </w:p>
    <w:p w:rsidR="00617822" w:rsidRPr="00B369F9" w:rsidRDefault="00617822" w:rsidP="00617822">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АО «Чеченэнерго» </w:t>
      </w:r>
      <w:r w:rsidR="000D2B38">
        <w:rPr>
          <w:rFonts w:ascii="Times New Roman" w:hAnsi="Times New Roman" w:cs="Times New Roman"/>
          <w:sz w:val="24"/>
          <w:szCs w:val="24"/>
        </w:rPr>
        <w:t xml:space="preserve">(далее – Общество) </w:t>
      </w:r>
      <w:r w:rsidRPr="00B369F9">
        <w:rPr>
          <w:rFonts w:ascii="Times New Roman" w:hAnsi="Times New Roman" w:cs="Times New Roman"/>
          <w:sz w:val="24"/>
          <w:szCs w:val="24"/>
        </w:rPr>
        <w:t>основано в 2008 г</w:t>
      </w:r>
      <w:r>
        <w:rPr>
          <w:rFonts w:ascii="Times New Roman" w:hAnsi="Times New Roman" w:cs="Times New Roman"/>
          <w:sz w:val="24"/>
          <w:szCs w:val="24"/>
        </w:rPr>
        <w:t>.</w:t>
      </w:r>
      <w:r w:rsidRPr="00B369F9">
        <w:rPr>
          <w:rFonts w:ascii="Times New Roman" w:hAnsi="Times New Roman" w:cs="Times New Roman"/>
          <w:sz w:val="24"/>
          <w:szCs w:val="24"/>
        </w:rPr>
        <w:t xml:space="preserve"> и является частью единой энергетической системы Российской Федерации. Главой Чеченской Республики Р.А.</w:t>
      </w:r>
      <w:r w:rsidR="00B06F6F">
        <w:rPr>
          <w:rFonts w:ascii="Times New Roman" w:hAnsi="Times New Roman" w:cs="Times New Roman"/>
          <w:sz w:val="24"/>
          <w:szCs w:val="24"/>
        </w:rPr>
        <w:t> </w:t>
      </w:r>
      <w:r w:rsidRPr="00B369F9">
        <w:rPr>
          <w:rFonts w:ascii="Times New Roman" w:hAnsi="Times New Roman" w:cs="Times New Roman"/>
          <w:sz w:val="24"/>
          <w:szCs w:val="24"/>
        </w:rPr>
        <w:t>Кадыровым, Председателем Правления ОАО РАО «ЕЭС России» А.Б. Чубайсом подписано Соглашение о взаимодействии Чеченской Республики, ОАО РАО «ЕЭС России» и ОАО</w:t>
      </w:r>
      <w:r w:rsidR="00B06F6F">
        <w:rPr>
          <w:rFonts w:ascii="Times New Roman" w:hAnsi="Times New Roman" w:cs="Times New Roman"/>
          <w:sz w:val="24"/>
          <w:szCs w:val="24"/>
        </w:rPr>
        <w:t> </w:t>
      </w:r>
      <w:r w:rsidRPr="00B369F9">
        <w:rPr>
          <w:rFonts w:ascii="Times New Roman" w:hAnsi="Times New Roman" w:cs="Times New Roman"/>
          <w:sz w:val="24"/>
          <w:szCs w:val="24"/>
        </w:rPr>
        <w:t xml:space="preserve">«Нурэнерго» в электроэнергетическом комплексе Чеченской Республики в 2007-2008 гг. от 13.08.2007 № 05-07, на основании которого 08.05.2008 </w:t>
      </w:r>
      <w:r>
        <w:rPr>
          <w:rFonts w:ascii="Times New Roman" w:hAnsi="Times New Roman" w:cs="Times New Roman"/>
          <w:sz w:val="24"/>
          <w:szCs w:val="24"/>
        </w:rPr>
        <w:t xml:space="preserve">г. </w:t>
      </w:r>
      <w:r w:rsidRPr="00B369F9">
        <w:rPr>
          <w:rFonts w:ascii="Times New Roman" w:hAnsi="Times New Roman" w:cs="Times New Roman"/>
          <w:sz w:val="24"/>
          <w:szCs w:val="24"/>
        </w:rPr>
        <w:t>создано Общество.</w:t>
      </w:r>
    </w:p>
    <w:p w:rsidR="00617822" w:rsidRPr="00B369F9" w:rsidRDefault="00617822" w:rsidP="00617822">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С 01.10.2013</w:t>
      </w:r>
      <w:r>
        <w:rPr>
          <w:rFonts w:ascii="Times New Roman" w:hAnsi="Times New Roman" w:cs="Times New Roman"/>
          <w:sz w:val="24"/>
          <w:szCs w:val="24"/>
        </w:rPr>
        <w:t xml:space="preserve"> г. </w:t>
      </w:r>
      <w:r w:rsidRPr="00B369F9">
        <w:rPr>
          <w:rFonts w:ascii="Times New Roman" w:hAnsi="Times New Roman" w:cs="Times New Roman"/>
          <w:sz w:val="24"/>
          <w:szCs w:val="24"/>
        </w:rPr>
        <w:t xml:space="preserve"> Общество осуществляет операционную деятельность по передаче и распределению </w:t>
      </w:r>
      <w:r>
        <w:rPr>
          <w:rFonts w:ascii="Times New Roman" w:hAnsi="Times New Roman" w:cs="Times New Roman"/>
          <w:sz w:val="24"/>
          <w:szCs w:val="24"/>
        </w:rPr>
        <w:t>электроэнергии</w:t>
      </w:r>
      <w:r w:rsidRPr="00B369F9">
        <w:rPr>
          <w:rFonts w:ascii="Times New Roman" w:hAnsi="Times New Roman" w:cs="Times New Roman"/>
          <w:sz w:val="24"/>
          <w:szCs w:val="24"/>
        </w:rPr>
        <w:t>, а также оказывает услуги по технологическому присоединению энергопринимающих устройств потребителей к сетевой инфраструктуре на территории Чеченской Республики площадью 15,6 тыс. кв. км. и населением 1 5</w:t>
      </w:r>
      <w:r>
        <w:rPr>
          <w:rFonts w:ascii="Times New Roman" w:hAnsi="Times New Roman" w:cs="Times New Roman"/>
          <w:sz w:val="24"/>
          <w:szCs w:val="24"/>
        </w:rPr>
        <w:t>33</w:t>
      </w:r>
      <w:r w:rsidRPr="00B369F9">
        <w:rPr>
          <w:rFonts w:ascii="Times New Roman" w:hAnsi="Times New Roman" w:cs="Times New Roman"/>
          <w:sz w:val="24"/>
          <w:szCs w:val="24"/>
        </w:rPr>
        <w:t>,</w:t>
      </w:r>
      <w:r>
        <w:rPr>
          <w:rFonts w:ascii="Times New Roman" w:hAnsi="Times New Roman" w:cs="Times New Roman"/>
          <w:sz w:val="24"/>
          <w:szCs w:val="24"/>
        </w:rPr>
        <w:t>2</w:t>
      </w:r>
      <w:r w:rsidRPr="00B369F9">
        <w:rPr>
          <w:rFonts w:ascii="Times New Roman" w:hAnsi="Times New Roman" w:cs="Times New Roman"/>
          <w:sz w:val="24"/>
          <w:szCs w:val="24"/>
        </w:rPr>
        <w:t xml:space="preserve"> тыс. чел.</w:t>
      </w:r>
      <w:r w:rsidRPr="00B369F9">
        <w:rPr>
          <w:rStyle w:val="af7"/>
          <w:rFonts w:ascii="Times New Roman" w:hAnsi="Times New Roman" w:cs="Times New Roman"/>
          <w:sz w:val="24"/>
          <w:szCs w:val="24"/>
        </w:rPr>
        <w:footnoteReference w:id="1"/>
      </w:r>
      <w:r w:rsidRPr="00B369F9">
        <w:rPr>
          <w:rFonts w:ascii="Times New Roman" w:hAnsi="Times New Roman" w:cs="Times New Roman"/>
          <w:sz w:val="24"/>
          <w:szCs w:val="24"/>
        </w:rPr>
        <w:t xml:space="preserve"> Столица Чеченской Республики – город Грозный.</w:t>
      </w:r>
    </w:p>
    <w:p w:rsidR="00617822" w:rsidRPr="00B369F9" w:rsidRDefault="00617822" w:rsidP="00617822">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В 2013-2014 гг. осуществлены мероприятия по первому этапу консолидации электросетевого имущества ПАО «Россети» (ранее – ОАО «Холдинг МРСК») и Чеченской Республики, расположенного на территории Чеченской Республики в рамках единой сетевой компании – АО «Чеченэнерго». По результатам проведенных мероприятий по консолидации электросетевого имущества доли участия в уставном капитале Общества составили: доля Чеченской Республики в лице Министерства имущественных и земельных отношении Чеченской Республики – 27,3 %, доля ПАО «Россети» – 72,7 %.</w:t>
      </w:r>
    </w:p>
    <w:p w:rsidR="00617822" w:rsidRPr="00B369F9" w:rsidRDefault="00617822" w:rsidP="00617822">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В связи с лишением ОАО «Нурэнерго» статуса гарантирующего поставщика с 01.05.2015 </w:t>
      </w:r>
      <w:r>
        <w:rPr>
          <w:rFonts w:ascii="Times New Roman" w:hAnsi="Times New Roman" w:cs="Times New Roman"/>
          <w:sz w:val="24"/>
          <w:szCs w:val="24"/>
        </w:rPr>
        <w:t xml:space="preserve">г. </w:t>
      </w:r>
      <w:r w:rsidRPr="00B369F9">
        <w:rPr>
          <w:rFonts w:ascii="Times New Roman" w:hAnsi="Times New Roman" w:cs="Times New Roman"/>
          <w:sz w:val="24"/>
          <w:szCs w:val="24"/>
        </w:rPr>
        <w:t>приказом Министерства энергетики Российской Федерации от 24.04.2015</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w:t>
      </w:r>
      <w:r w:rsidR="00B06F6F">
        <w:rPr>
          <w:rFonts w:ascii="Times New Roman" w:hAnsi="Times New Roman" w:cs="Times New Roman"/>
          <w:sz w:val="24"/>
          <w:szCs w:val="24"/>
        </w:rPr>
        <w:t> </w:t>
      </w:r>
      <w:r w:rsidRPr="00B369F9">
        <w:rPr>
          <w:rFonts w:ascii="Times New Roman" w:hAnsi="Times New Roman" w:cs="Times New Roman"/>
          <w:sz w:val="24"/>
          <w:szCs w:val="24"/>
        </w:rPr>
        <w:t>242 АО «Чеченэнерго» присвоен статус гарантирующего поставщика на территории Чеченской Республики. Министерство энергетики Российской Федерации приказами от 25.04.2016</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339, от 24.04.2017</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352, от 20.04.2018</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296, от 22.04.2019</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406, от 29.04.2020</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340, 27.04.2021</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312, от 29.04.2022</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377, от 19.04.2023</w:t>
      </w:r>
      <w:r>
        <w:rPr>
          <w:rFonts w:ascii="Times New Roman" w:hAnsi="Times New Roman" w:cs="Times New Roman"/>
          <w:sz w:val="24"/>
          <w:szCs w:val="24"/>
        </w:rPr>
        <w:t xml:space="preserve"> г.</w:t>
      </w:r>
      <w:r w:rsidRPr="00B369F9">
        <w:rPr>
          <w:rFonts w:ascii="Times New Roman" w:hAnsi="Times New Roman" w:cs="Times New Roman"/>
          <w:sz w:val="24"/>
          <w:szCs w:val="24"/>
        </w:rPr>
        <w:t xml:space="preserve"> № 262 продлило статус гарантирующего поставщика АО</w:t>
      </w:r>
      <w:r w:rsidRPr="00B369F9">
        <w:rPr>
          <w:rFonts w:ascii="Times New Roman" w:hAnsi="Times New Roman" w:cs="Times New Roman"/>
          <w:sz w:val="24"/>
          <w:szCs w:val="24"/>
          <w:lang w:val="en-US"/>
        </w:rPr>
        <w:t> </w:t>
      </w:r>
      <w:r w:rsidRPr="00B369F9">
        <w:rPr>
          <w:rFonts w:ascii="Times New Roman" w:hAnsi="Times New Roman" w:cs="Times New Roman"/>
          <w:sz w:val="24"/>
          <w:szCs w:val="24"/>
        </w:rPr>
        <w:t>«Чеченэнерго» до выбора победителя конкурса на присвоение статуса. Общество является единственным гарантирующим поставщиком электрической энергии на территории Чеченской Республики.</w:t>
      </w:r>
    </w:p>
    <w:p w:rsidR="00EF1D8F" w:rsidRPr="00B369F9" w:rsidRDefault="00EF1D8F" w:rsidP="007C7C02">
      <w:pPr>
        <w:spacing w:after="0" w:line="240" w:lineRule="auto"/>
        <w:ind w:right="-142"/>
        <w:contextualSpacing/>
        <w:rPr>
          <w:rFonts w:ascii="Times New Roman" w:hAnsi="Times New Roman" w:cs="Times New Roman"/>
          <w:b/>
          <w:sz w:val="24"/>
          <w:szCs w:val="24"/>
        </w:rPr>
      </w:pPr>
    </w:p>
    <w:p w:rsidR="00B369F9" w:rsidRPr="00B369F9" w:rsidRDefault="00B369F9" w:rsidP="00B369F9">
      <w:pPr>
        <w:spacing w:after="0" w:line="240" w:lineRule="auto"/>
        <w:ind w:right="-143" w:firstLine="709"/>
        <w:contextualSpacing/>
        <w:rPr>
          <w:rFonts w:ascii="Times New Roman" w:hAnsi="Times New Roman" w:cs="Times New Roman"/>
          <w:b/>
          <w:sz w:val="24"/>
          <w:szCs w:val="24"/>
        </w:rPr>
      </w:pPr>
      <w:r w:rsidRPr="00B369F9">
        <w:rPr>
          <w:rFonts w:ascii="Times New Roman" w:hAnsi="Times New Roman" w:cs="Times New Roman"/>
          <w:b/>
          <w:sz w:val="24"/>
          <w:szCs w:val="24"/>
        </w:rPr>
        <w:t>География деятельности и основные активы</w:t>
      </w:r>
    </w:p>
    <w:p w:rsidR="00B369F9" w:rsidRPr="00B369F9" w:rsidRDefault="00B369F9" w:rsidP="00B369F9">
      <w:pPr>
        <w:tabs>
          <w:tab w:val="left" w:pos="993"/>
        </w:tabs>
        <w:spacing w:after="0" w:line="240" w:lineRule="auto"/>
        <w:ind w:right="-142"/>
        <w:contextualSpacing/>
        <w:jc w:val="center"/>
        <w:rPr>
          <w:rFonts w:ascii="Times New Roman" w:hAnsi="Times New Roman" w:cs="Times New Roman"/>
          <w:sz w:val="24"/>
          <w:szCs w:val="24"/>
        </w:rPr>
      </w:pPr>
      <w:r w:rsidRPr="00B369F9">
        <w:rPr>
          <w:rFonts w:ascii="Times New Roman" w:hAnsi="Times New Roman" w:cs="Times New Roman"/>
          <w:noProof/>
          <w:sz w:val="24"/>
          <w:szCs w:val="24"/>
          <w:lang w:eastAsia="ru-RU"/>
        </w:rPr>
        <w:drawing>
          <wp:inline distT="0" distB="0" distL="0" distR="0" wp14:anchorId="490F52EF" wp14:editId="6BED6ED1">
            <wp:extent cx="2896579" cy="3276000"/>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96579" cy="3276000"/>
                    </a:xfrm>
                    <a:prstGeom prst="rect">
                      <a:avLst/>
                    </a:prstGeom>
                    <a:noFill/>
                    <a:ln>
                      <a:noFill/>
                    </a:ln>
                  </pic:spPr>
                </pic:pic>
              </a:graphicData>
            </a:graphic>
          </wp:inline>
        </w:drawing>
      </w:r>
    </w:p>
    <w:p w:rsidR="00B9098F" w:rsidRPr="00B369F9" w:rsidRDefault="00B9098F" w:rsidP="00B9098F">
      <w:pPr>
        <w:spacing w:after="0" w:line="240" w:lineRule="auto"/>
        <w:rPr>
          <w:sz w:val="24"/>
          <w:szCs w:val="24"/>
          <w:lang w:eastAsia="ru-RU"/>
        </w:rPr>
      </w:pPr>
    </w:p>
    <w:p w:rsidR="00B9098F" w:rsidRPr="00C125F7" w:rsidRDefault="00B9098F" w:rsidP="00B9098F">
      <w:pPr>
        <w:pStyle w:val="1"/>
        <w:ind w:right="-143" w:firstLine="709"/>
        <w:rPr>
          <w:b w:val="0"/>
          <w:bCs w:val="0"/>
        </w:rPr>
      </w:pPr>
      <w:bookmarkStart w:id="6" w:name="_Toc163738855"/>
      <w:r w:rsidRPr="00C125F7">
        <w:t>Стратегический отчет</w:t>
      </w:r>
      <w:bookmarkEnd w:id="6"/>
    </w:p>
    <w:p w:rsidR="00B369F9" w:rsidRPr="00B369F9" w:rsidRDefault="00B369F9" w:rsidP="004526F6">
      <w:pPr>
        <w:spacing w:after="0" w:line="240" w:lineRule="auto"/>
        <w:rPr>
          <w:sz w:val="24"/>
          <w:szCs w:val="24"/>
          <w:lang w:eastAsia="ru-RU"/>
        </w:rPr>
      </w:pPr>
    </w:p>
    <w:p w:rsidR="00283BEF" w:rsidRPr="00B9098F" w:rsidRDefault="00283BEF" w:rsidP="00B9098F">
      <w:pPr>
        <w:pStyle w:val="1"/>
        <w:ind w:right="-143" w:firstLine="709"/>
      </w:pPr>
      <w:bookmarkStart w:id="7" w:name="_Toc63934312"/>
      <w:bookmarkStart w:id="8" w:name="_Toc158019510"/>
      <w:bookmarkStart w:id="9" w:name="_Toc163738856"/>
      <w:r w:rsidRPr="00B9098F">
        <w:t>Положение Компании на рынке и конкурентная среда</w:t>
      </w:r>
      <w:bookmarkEnd w:id="7"/>
      <w:bookmarkEnd w:id="8"/>
      <w:bookmarkEnd w:id="9"/>
    </w:p>
    <w:p w:rsidR="00283BEF" w:rsidRPr="00B369F9" w:rsidRDefault="00283BEF" w:rsidP="009E549A">
      <w:pPr>
        <w:keepNext/>
        <w:keepLines/>
        <w:widowControl w:val="0"/>
        <w:spacing w:after="0" w:line="240" w:lineRule="auto"/>
        <w:ind w:firstLine="708"/>
        <w:outlineLvl w:val="1"/>
        <w:rPr>
          <w:rFonts w:ascii="Times New Roman" w:eastAsia="Calibri" w:hAnsi="Times New Roman" w:cs="Times New Roman"/>
          <w:b/>
          <w:sz w:val="24"/>
          <w:szCs w:val="24"/>
          <w:lang w:eastAsia="ru-RU"/>
        </w:rPr>
      </w:pPr>
    </w:p>
    <w:p w:rsidR="00283BEF" w:rsidRPr="00B369F9" w:rsidRDefault="00283BEF" w:rsidP="00283BEF">
      <w:pPr>
        <w:spacing w:after="0" w:line="240" w:lineRule="auto"/>
        <w:ind w:firstLine="708"/>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В связи с лишением ОАО «Нурэнерго» статуса Гарантирующего поставщика в соответствии с приказом Минэнерго России от 24.04.2015 №</w:t>
      </w:r>
      <w:r w:rsidR="005D01EC">
        <w:rPr>
          <w:rFonts w:ascii="Times New Roman" w:hAnsi="Times New Roman" w:cs="Times New Roman"/>
          <w:kern w:val="1"/>
          <w:sz w:val="24"/>
          <w:szCs w:val="24"/>
        </w:rPr>
        <w:t xml:space="preserve"> </w:t>
      </w:r>
      <w:r w:rsidRPr="00B369F9">
        <w:rPr>
          <w:rFonts w:ascii="Times New Roman" w:hAnsi="Times New Roman" w:cs="Times New Roman"/>
          <w:kern w:val="1"/>
          <w:sz w:val="24"/>
          <w:szCs w:val="24"/>
        </w:rPr>
        <w:t xml:space="preserve">242, Общество осуществило подхват функции Гарантирующего поставщика на территории Чеченской </w:t>
      </w:r>
      <w:r w:rsidR="00CE40DE">
        <w:rPr>
          <w:rFonts w:ascii="Times New Roman" w:hAnsi="Times New Roman" w:cs="Times New Roman"/>
          <w:kern w:val="1"/>
          <w:sz w:val="24"/>
          <w:szCs w:val="24"/>
        </w:rPr>
        <w:t>Р</w:t>
      </w:r>
      <w:r w:rsidRPr="00B369F9">
        <w:rPr>
          <w:rFonts w:ascii="Times New Roman" w:hAnsi="Times New Roman" w:cs="Times New Roman"/>
          <w:kern w:val="1"/>
          <w:sz w:val="24"/>
          <w:szCs w:val="24"/>
        </w:rPr>
        <w:t>еспублики с 01.05.2015 в соответствии с требованиями действующего законодательства.</w:t>
      </w:r>
    </w:p>
    <w:p w:rsidR="00283BEF" w:rsidRPr="00B369F9" w:rsidRDefault="00283BEF" w:rsidP="00283BEF">
      <w:pPr>
        <w:spacing w:after="0" w:line="240" w:lineRule="auto"/>
        <w:ind w:firstLine="708"/>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Статус</w:t>
      </w:r>
      <w:r w:rsidRPr="00B369F9">
        <w:rPr>
          <w:rFonts w:ascii="Times New Roman" w:hAnsi="Times New Roman" w:cs="Times New Roman"/>
          <w:sz w:val="24"/>
          <w:szCs w:val="24"/>
        </w:rPr>
        <w:t xml:space="preserve"> гарантирующего поставщика для </w:t>
      </w:r>
      <w:r w:rsidR="009620A5" w:rsidRPr="00B369F9">
        <w:rPr>
          <w:rFonts w:ascii="Times New Roman" w:hAnsi="Times New Roman" w:cs="Times New Roman"/>
          <w:sz w:val="24"/>
          <w:szCs w:val="24"/>
        </w:rPr>
        <w:t>Общества</w:t>
      </w:r>
      <w:r w:rsidRPr="00B369F9">
        <w:rPr>
          <w:rFonts w:ascii="Times New Roman" w:hAnsi="Times New Roman" w:cs="Times New Roman"/>
          <w:sz w:val="24"/>
          <w:szCs w:val="24"/>
        </w:rPr>
        <w:t xml:space="preserve"> </w:t>
      </w:r>
      <w:r w:rsidRPr="00B369F9">
        <w:rPr>
          <w:rFonts w:ascii="Times New Roman" w:hAnsi="Times New Roman" w:cs="Times New Roman"/>
          <w:kern w:val="1"/>
          <w:sz w:val="24"/>
          <w:szCs w:val="24"/>
        </w:rPr>
        <w:t xml:space="preserve">на территории Чеченской </w:t>
      </w:r>
      <w:r w:rsidR="00CE40DE">
        <w:rPr>
          <w:rFonts w:ascii="Times New Roman" w:hAnsi="Times New Roman" w:cs="Times New Roman"/>
          <w:kern w:val="1"/>
          <w:sz w:val="24"/>
          <w:szCs w:val="24"/>
        </w:rPr>
        <w:t>Р</w:t>
      </w:r>
      <w:r w:rsidRPr="00B369F9">
        <w:rPr>
          <w:rFonts w:ascii="Times New Roman" w:hAnsi="Times New Roman" w:cs="Times New Roman"/>
          <w:kern w:val="1"/>
          <w:sz w:val="24"/>
          <w:szCs w:val="24"/>
        </w:rPr>
        <w:t>еспублики</w:t>
      </w:r>
      <w:r w:rsidRPr="00B369F9">
        <w:rPr>
          <w:rFonts w:ascii="Times New Roman" w:hAnsi="Times New Roman" w:cs="Times New Roman"/>
          <w:sz w:val="24"/>
          <w:szCs w:val="24"/>
        </w:rPr>
        <w:t xml:space="preserve"> продляется ежегодно, в том числе продлен на 2023 год Приказом Министерства </w:t>
      </w:r>
      <w:r w:rsidR="00CE40DE">
        <w:rPr>
          <w:rFonts w:ascii="Times New Roman" w:hAnsi="Times New Roman" w:cs="Times New Roman"/>
          <w:sz w:val="24"/>
          <w:szCs w:val="24"/>
        </w:rPr>
        <w:t>э</w:t>
      </w:r>
      <w:r w:rsidRPr="00B369F9">
        <w:rPr>
          <w:rFonts w:ascii="Times New Roman" w:hAnsi="Times New Roman" w:cs="Times New Roman"/>
          <w:sz w:val="24"/>
          <w:szCs w:val="24"/>
        </w:rPr>
        <w:t xml:space="preserve">нергетики </w:t>
      </w:r>
      <w:r w:rsidR="009620A5" w:rsidRPr="00B369F9">
        <w:rPr>
          <w:rFonts w:ascii="Times New Roman" w:hAnsi="Times New Roman" w:cs="Times New Roman"/>
          <w:sz w:val="24"/>
          <w:szCs w:val="24"/>
        </w:rPr>
        <w:t>Российской Федерации</w:t>
      </w:r>
      <w:r w:rsidRPr="00B369F9">
        <w:rPr>
          <w:rFonts w:ascii="Times New Roman" w:hAnsi="Times New Roman" w:cs="Times New Roman"/>
          <w:sz w:val="24"/>
          <w:szCs w:val="24"/>
        </w:rPr>
        <w:t xml:space="preserve"> от 19</w:t>
      </w:r>
      <w:r w:rsidR="009620A5" w:rsidRPr="00B369F9">
        <w:rPr>
          <w:rFonts w:ascii="Times New Roman" w:hAnsi="Times New Roman" w:cs="Times New Roman"/>
          <w:sz w:val="24"/>
          <w:szCs w:val="24"/>
        </w:rPr>
        <w:t>.04.</w:t>
      </w:r>
      <w:r w:rsidRPr="00B369F9">
        <w:rPr>
          <w:rFonts w:ascii="Times New Roman" w:hAnsi="Times New Roman" w:cs="Times New Roman"/>
          <w:sz w:val="24"/>
          <w:szCs w:val="24"/>
        </w:rPr>
        <w:t>2023</w:t>
      </w:r>
      <w:r w:rsidR="009620A5" w:rsidRPr="00B369F9">
        <w:rPr>
          <w:rFonts w:ascii="Times New Roman" w:hAnsi="Times New Roman" w:cs="Times New Roman"/>
          <w:sz w:val="24"/>
          <w:szCs w:val="24"/>
        </w:rPr>
        <w:t xml:space="preserve"> № 262</w:t>
      </w:r>
      <w:r w:rsidRPr="00B369F9">
        <w:rPr>
          <w:rFonts w:ascii="Times New Roman" w:hAnsi="Times New Roman" w:cs="Times New Roman"/>
          <w:sz w:val="24"/>
          <w:szCs w:val="24"/>
        </w:rPr>
        <w:t xml:space="preserve"> – с </w:t>
      </w:r>
      <w:r w:rsidR="009620A5" w:rsidRPr="00B369F9">
        <w:rPr>
          <w:rFonts w:ascii="Times New Roman" w:hAnsi="Times New Roman" w:cs="Times New Roman"/>
          <w:sz w:val="24"/>
          <w:szCs w:val="24"/>
        </w:rPr>
        <w:t>0</w:t>
      </w:r>
      <w:r w:rsidRPr="00B369F9">
        <w:rPr>
          <w:rFonts w:ascii="Times New Roman" w:hAnsi="Times New Roman" w:cs="Times New Roman"/>
          <w:sz w:val="24"/>
          <w:szCs w:val="24"/>
        </w:rPr>
        <w:t>1</w:t>
      </w:r>
      <w:r w:rsidR="009620A5" w:rsidRPr="00B369F9">
        <w:rPr>
          <w:rFonts w:ascii="Times New Roman" w:hAnsi="Times New Roman" w:cs="Times New Roman"/>
          <w:sz w:val="24"/>
          <w:szCs w:val="24"/>
        </w:rPr>
        <w:t>.05.</w:t>
      </w:r>
      <w:r w:rsidRPr="00B369F9">
        <w:rPr>
          <w:rFonts w:ascii="Times New Roman" w:hAnsi="Times New Roman" w:cs="Times New Roman"/>
          <w:sz w:val="24"/>
          <w:szCs w:val="24"/>
        </w:rPr>
        <w:t xml:space="preserve">2023 до даты вступления в силу решения о присвоении статуса гарантирующего поставщика победителю </w:t>
      </w:r>
      <w:r w:rsidRPr="00B369F9">
        <w:rPr>
          <w:rFonts w:ascii="Times New Roman" w:hAnsi="Times New Roman" w:cs="Times New Roman"/>
          <w:kern w:val="1"/>
          <w:sz w:val="24"/>
          <w:szCs w:val="24"/>
        </w:rPr>
        <w:t xml:space="preserve">конкурса в отношении указанной зоны деятельности. </w:t>
      </w:r>
    </w:p>
    <w:p w:rsidR="00283BEF" w:rsidRPr="00B369F9" w:rsidRDefault="00283BEF" w:rsidP="00283BEF">
      <w:pPr>
        <w:tabs>
          <w:tab w:val="left" w:pos="567"/>
        </w:tabs>
        <w:spacing w:after="0" w:line="240" w:lineRule="auto"/>
        <w:ind w:firstLine="567"/>
        <w:jc w:val="both"/>
        <w:rPr>
          <w:rFonts w:ascii="Times New Roman" w:hAnsi="Times New Roman" w:cs="Times New Roman"/>
          <w:sz w:val="24"/>
          <w:szCs w:val="24"/>
        </w:rPr>
      </w:pPr>
      <w:r w:rsidRPr="00B369F9">
        <w:rPr>
          <w:rFonts w:ascii="Times New Roman" w:hAnsi="Times New Roman" w:cs="Times New Roman"/>
          <w:kern w:val="1"/>
          <w:sz w:val="24"/>
          <w:szCs w:val="24"/>
        </w:rPr>
        <w:t>Купля-продажа электрической энергии и мощности на оптовом рынке электрической энергии и мощности (ОРЭМ) осуществляется в рамках системы договоров, обязательных к заключению для каждого субъекта оптового рынка. Условия указанных договоров регулируются действующим законодательством об электроэнергетике. Цены на электрическую энергию и мощность в регулируемых договорах соответствуют тарифным ставкам на электрическую энергию и мощность, утвержденным для поставщиков электрической энергии (мощности) федеральным органом исполнительной власти в области государственного регулирования тарифов. Порядок ценообразования в свободных (нерегулируемых) секторах ОРЭМ определен Федерал</w:t>
      </w:r>
      <w:r w:rsidR="00414F30" w:rsidRPr="00B369F9">
        <w:rPr>
          <w:rFonts w:ascii="Times New Roman" w:hAnsi="Times New Roman" w:cs="Times New Roman"/>
          <w:kern w:val="1"/>
          <w:sz w:val="24"/>
          <w:szCs w:val="24"/>
        </w:rPr>
        <w:t>ьным законом от 26.03.</w:t>
      </w:r>
      <w:r w:rsidRPr="00B369F9">
        <w:rPr>
          <w:rFonts w:ascii="Times New Roman" w:hAnsi="Times New Roman" w:cs="Times New Roman"/>
          <w:kern w:val="1"/>
          <w:sz w:val="24"/>
          <w:szCs w:val="24"/>
        </w:rPr>
        <w:t xml:space="preserve">2003 № 35-ФЗ «Об электроэнергетике» и Правилами оптового рынка электрической энергии и мощности, утвержденными постановлением Правительства </w:t>
      </w:r>
      <w:r w:rsidR="00414F30" w:rsidRPr="00B369F9">
        <w:rPr>
          <w:rFonts w:ascii="Times New Roman" w:hAnsi="Times New Roman" w:cs="Times New Roman"/>
          <w:sz w:val="24"/>
          <w:szCs w:val="24"/>
        </w:rPr>
        <w:t xml:space="preserve">Российской Федерации </w:t>
      </w:r>
      <w:r w:rsidR="00414F30" w:rsidRPr="00B369F9">
        <w:rPr>
          <w:rFonts w:ascii="Times New Roman" w:hAnsi="Times New Roman" w:cs="Times New Roman"/>
          <w:kern w:val="1"/>
          <w:sz w:val="24"/>
          <w:szCs w:val="24"/>
        </w:rPr>
        <w:t>от 27.12.</w:t>
      </w:r>
      <w:r w:rsidRPr="00B369F9">
        <w:rPr>
          <w:rFonts w:ascii="Times New Roman" w:hAnsi="Times New Roman" w:cs="Times New Roman"/>
          <w:kern w:val="1"/>
          <w:sz w:val="24"/>
          <w:szCs w:val="24"/>
        </w:rPr>
        <w:t>2010 №</w:t>
      </w:r>
      <w:r w:rsidR="00414F30" w:rsidRPr="00B369F9">
        <w:rPr>
          <w:rFonts w:ascii="Times New Roman" w:hAnsi="Times New Roman" w:cs="Times New Roman"/>
          <w:kern w:val="1"/>
          <w:sz w:val="24"/>
          <w:szCs w:val="24"/>
        </w:rPr>
        <w:t> </w:t>
      </w:r>
      <w:r w:rsidRPr="00B369F9">
        <w:rPr>
          <w:rFonts w:ascii="Times New Roman" w:hAnsi="Times New Roman" w:cs="Times New Roman"/>
          <w:kern w:val="1"/>
          <w:sz w:val="24"/>
          <w:szCs w:val="24"/>
        </w:rPr>
        <w:t xml:space="preserve">1172, Договором о присоединении к торговой системе </w:t>
      </w:r>
      <w:r w:rsidRPr="00B369F9">
        <w:rPr>
          <w:rFonts w:ascii="Times New Roman" w:hAnsi="Times New Roman" w:cs="Times New Roman"/>
          <w:sz w:val="24"/>
          <w:szCs w:val="24"/>
        </w:rPr>
        <w:t>оптового рынка.</w:t>
      </w:r>
    </w:p>
    <w:p w:rsidR="00283BEF" w:rsidRPr="00B369F9" w:rsidRDefault="00283BEF" w:rsidP="00283BEF">
      <w:pPr>
        <w:spacing w:after="0" w:line="240" w:lineRule="auto"/>
        <w:ind w:firstLine="567"/>
        <w:contextualSpacing/>
        <w:jc w:val="both"/>
        <w:rPr>
          <w:rFonts w:ascii="Times New Roman" w:hAnsi="Times New Roman" w:cs="Times New Roman"/>
          <w:kern w:val="1"/>
          <w:sz w:val="24"/>
          <w:szCs w:val="24"/>
        </w:rPr>
      </w:pPr>
      <w:r w:rsidRPr="00B369F9">
        <w:rPr>
          <w:rFonts w:ascii="Times New Roman" w:hAnsi="Times New Roman" w:cs="Times New Roman"/>
          <w:sz w:val="24"/>
          <w:szCs w:val="24"/>
        </w:rPr>
        <w:t xml:space="preserve">В целях урегулирования задолженности на ОРЭМ в феврале 2022 года между Обществом и генерирующими компаниями – кредиторами заключены соглашения о порядке исполнения обязательств (далее </w:t>
      </w:r>
      <w:r w:rsidR="00414F30" w:rsidRPr="00B369F9">
        <w:rPr>
          <w:rFonts w:ascii="Times New Roman" w:hAnsi="Times New Roman" w:cs="Times New Roman"/>
          <w:sz w:val="24"/>
          <w:szCs w:val="24"/>
        </w:rPr>
        <w:t>–</w:t>
      </w:r>
      <w:r w:rsidRPr="00B369F9">
        <w:rPr>
          <w:rFonts w:ascii="Times New Roman" w:hAnsi="Times New Roman" w:cs="Times New Roman"/>
          <w:sz w:val="24"/>
          <w:szCs w:val="24"/>
        </w:rPr>
        <w:t xml:space="preserve"> Соглашения), действие которых продлено на 2023 год посредством подписания дополнительных </w:t>
      </w:r>
      <w:r w:rsidR="00414F30" w:rsidRPr="00B369F9">
        <w:rPr>
          <w:rFonts w:ascii="Times New Roman" w:hAnsi="Times New Roman" w:cs="Times New Roman"/>
          <w:sz w:val="24"/>
          <w:szCs w:val="24"/>
        </w:rPr>
        <w:t>Соглашений</w:t>
      </w:r>
      <w:r w:rsidRPr="00B369F9">
        <w:rPr>
          <w:rFonts w:ascii="Times New Roman" w:hAnsi="Times New Roman" w:cs="Times New Roman"/>
          <w:sz w:val="24"/>
          <w:szCs w:val="24"/>
        </w:rPr>
        <w:t xml:space="preserve"> в феврале 2023 года</w:t>
      </w:r>
      <w:r w:rsidRPr="00B369F9">
        <w:rPr>
          <w:rFonts w:ascii="Times New Roman" w:hAnsi="Times New Roman" w:cs="Times New Roman"/>
          <w:kern w:val="1"/>
          <w:sz w:val="24"/>
          <w:szCs w:val="24"/>
        </w:rPr>
        <w:t>. В соответствии с условиями Соглашений предусмотрено два варианта расчетов на ОРЭМ:</w:t>
      </w:r>
    </w:p>
    <w:p w:rsidR="00283BEF" w:rsidRPr="00B369F9" w:rsidRDefault="00283BEF" w:rsidP="00283BEF">
      <w:pPr>
        <w:tabs>
          <w:tab w:val="left" w:pos="426"/>
          <w:tab w:val="left" w:pos="993"/>
        </w:tabs>
        <w:spacing w:after="0" w:line="240" w:lineRule="auto"/>
        <w:ind w:firstLine="567"/>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1)</w:t>
      </w:r>
      <w:r w:rsidRPr="00B369F9">
        <w:rPr>
          <w:rFonts w:ascii="Times New Roman" w:hAnsi="Times New Roman" w:cs="Times New Roman"/>
          <w:kern w:val="1"/>
          <w:sz w:val="24"/>
          <w:szCs w:val="24"/>
        </w:rPr>
        <w:tab/>
        <w:t>простыми банковскими векселями с дисконтом 10% и дальнейшей их передачей в адрес контрагентов по номинальной стоимости;</w:t>
      </w:r>
    </w:p>
    <w:p w:rsidR="00283BEF" w:rsidRPr="00B369F9" w:rsidRDefault="00283BEF" w:rsidP="00283BEF">
      <w:pPr>
        <w:tabs>
          <w:tab w:val="left" w:pos="426"/>
          <w:tab w:val="left" w:pos="993"/>
        </w:tabs>
        <w:spacing w:after="0" w:line="240" w:lineRule="auto"/>
        <w:ind w:firstLine="567"/>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2)</w:t>
      </w:r>
      <w:r w:rsidRPr="00B369F9">
        <w:rPr>
          <w:rFonts w:ascii="Times New Roman" w:hAnsi="Times New Roman" w:cs="Times New Roman"/>
          <w:kern w:val="1"/>
          <w:sz w:val="24"/>
          <w:szCs w:val="24"/>
        </w:rPr>
        <w:tab/>
        <w:t>денежными средствами с отсрочкой части платежа в размере 10</w:t>
      </w:r>
      <w:r w:rsidR="00414F30" w:rsidRPr="00B369F9">
        <w:rPr>
          <w:rFonts w:ascii="Times New Roman" w:hAnsi="Times New Roman" w:cs="Times New Roman"/>
          <w:kern w:val="1"/>
          <w:sz w:val="24"/>
          <w:szCs w:val="24"/>
        </w:rPr>
        <w:t xml:space="preserve"> </w:t>
      </w:r>
      <w:r w:rsidRPr="00B369F9">
        <w:rPr>
          <w:rFonts w:ascii="Times New Roman" w:hAnsi="Times New Roman" w:cs="Times New Roman"/>
          <w:kern w:val="1"/>
          <w:sz w:val="24"/>
          <w:szCs w:val="24"/>
        </w:rPr>
        <w:t>% до 2036 года по обязательствам 2022 года и до 2037 года – по обязательствам 2023 года.</w:t>
      </w:r>
    </w:p>
    <w:p w:rsidR="00283BEF" w:rsidRPr="00B369F9" w:rsidRDefault="00283BEF" w:rsidP="00283BEF">
      <w:pPr>
        <w:spacing w:after="0" w:line="240" w:lineRule="auto"/>
        <w:ind w:firstLine="567"/>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Дополнительные Соглашения на 2023 год подписали 54 генерирующие компании, из которых 50 выбрали вексельный вариант расчетов. Вексельный вариант расчетов предполагает исполнение обязательств в 2023 году дисконтными (10</w:t>
      </w:r>
      <w:r w:rsidR="00414F30" w:rsidRPr="00B369F9">
        <w:rPr>
          <w:rFonts w:ascii="Times New Roman" w:hAnsi="Times New Roman" w:cs="Times New Roman"/>
          <w:kern w:val="1"/>
          <w:sz w:val="24"/>
          <w:szCs w:val="24"/>
        </w:rPr>
        <w:t xml:space="preserve"> </w:t>
      </w:r>
      <w:r w:rsidRPr="00B369F9">
        <w:rPr>
          <w:rFonts w:ascii="Times New Roman" w:hAnsi="Times New Roman" w:cs="Times New Roman"/>
          <w:kern w:val="1"/>
          <w:sz w:val="24"/>
          <w:szCs w:val="24"/>
        </w:rPr>
        <w:t>%) векселями ежеквартально в срок не позднее 15-го числа второго месяца, следующего за расчетным кварталом. Вариант расчетов денежными средствами предполагает исполнение обязательств в 2023 году ежеквартально в срок не позднее 15-го числа второго месяца, следующего за расчетным кварталом, с частичной отсрочкой платежа в размере 10</w:t>
      </w:r>
      <w:r w:rsidR="00414F30" w:rsidRPr="00B369F9">
        <w:rPr>
          <w:rFonts w:ascii="Times New Roman" w:hAnsi="Times New Roman" w:cs="Times New Roman"/>
          <w:kern w:val="1"/>
          <w:sz w:val="24"/>
          <w:szCs w:val="24"/>
        </w:rPr>
        <w:t xml:space="preserve"> </w:t>
      </w:r>
      <w:r w:rsidRPr="00B369F9">
        <w:rPr>
          <w:rFonts w:ascii="Times New Roman" w:hAnsi="Times New Roman" w:cs="Times New Roman"/>
          <w:kern w:val="1"/>
          <w:sz w:val="24"/>
          <w:szCs w:val="24"/>
        </w:rPr>
        <w:t xml:space="preserve">% до 2037 года. </w:t>
      </w:r>
    </w:p>
    <w:p w:rsidR="00283BEF" w:rsidRPr="00B369F9" w:rsidRDefault="00283BEF" w:rsidP="00283BEF">
      <w:pPr>
        <w:spacing w:after="0" w:line="240" w:lineRule="auto"/>
        <w:ind w:firstLine="567"/>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По итогам 2023 года Обществом произведены все расчеты векселями и полностью оплачены обязательства на ОРЭМ за 2023 год в соответствии с условиями Соглашений в части генерирующих компаний, заключивших Соглашения, и требованиями Регламента финансовых расчетов на оптовом рынке электроэнергии и мощности (Приложение № 16 к Договору о присоединении к торговой системе оптового рынка) в части генерирующих компаний – кредиторов, не присоединившихся к урегулированию задолженности путем заключения Соглашений.</w:t>
      </w:r>
    </w:p>
    <w:p w:rsidR="00283BEF" w:rsidRPr="00B369F9" w:rsidRDefault="00283BEF" w:rsidP="00283BEF">
      <w:pPr>
        <w:spacing w:after="0" w:line="240" w:lineRule="auto"/>
        <w:ind w:firstLine="708"/>
        <w:contextualSpacing/>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Учитывая изложенное, конкуренты у </w:t>
      </w:r>
      <w:r w:rsidR="00414F30" w:rsidRPr="00B369F9">
        <w:rPr>
          <w:rFonts w:ascii="Times New Roman" w:eastAsia="Calibri" w:hAnsi="Times New Roman" w:cs="Times New Roman"/>
          <w:sz w:val="24"/>
          <w:szCs w:val="24"/>
        </w:rPr>
        <w:t>Общества</w:t>
      </w:r>
      <w:r w:rsidRPr="00B369F9">
        <w:rPr>
          <w:rFonts w:ascii="Times New Roman" w:eastAsia="Calibri" w:hAnsi="Times New Roman" w:cs="Times New Roman"/>
          <w:sz w:val="24"/>
          <w:szCs w:val="24"/>
        </w:rPr>
        <w:t xml:space="preserve"> на территории </w:t>
      </w:r>
      <w:r w:rsidRPr="00B369F9">
        <w:rPr>
          <w:rFonts w:ascii="Times New Roman" w:hAnsi="Times New Roman" w:cs="Times New Roman"/>
          <w:kern w:val="1"/>
          <w:sz w:val="24"/>
          <w:szCs w:val="24"/>
        </w:rPr>
        <w:t xml:space="preserve">Чеченской </w:t>
      </w:r>
      <w:r w:rsidR="00CE40DE">
        <w:rPr>
          <w:rFonts w:ascii="Times New Roman" w:hAnsi="Times New Roman" w:cs="Times New Roman"/>
          <w:kern w:val="1"/>
          <w:sz w:val="24"/>
          <w:szCs w:val="24"/>
        </w:rPr>
        <w:t>Р</w:t>
      </w:r>
      <w:r w:rsidRPr="00B369F9">
        <w:rPr>
          <w:rFonts w:ascii="Times New Roman" w:hAnsi="Times New Roman" w:cs="Times New Roman"/>
          <w:kern w:val="1"/>
          <w:sz w:val="24"/>
          <w:szCs w:val="24"/>
        </w:rPr>
        <w:t>еспублики</w:t>
      </w:r>
      <w:r w:rsidRPr="00B369F9">
        <w:rPr>
          <w:rFonts w:ascii="Times New Roman" w:hAnsi="Times New Roman" w:cs="Times New Roman"/>
          <w:sz w:val="24"/>
          <w:szCs w:val="24"/>
        </w:rPr>
        <w:t xml:space="preserve"> </w:t>
      </w:r>
      <w:r w:rsidRPr="00B369F9">
        <w:rPr>
          <w:rFonts w:ascii="Times New Roman" w:eastAsia="Calibri" w:hAnsi="Times New Roman" w:cs="Times New Roman"/>
          <w:sz w:val="24"/>
          <w:szCs w:val="24"/>
        </w:rPr>
        <w:t>в части деятельности на ОРЭМ отсутствуют.</w:t>
      </w:r>
    </w:p>
    <w:p w:rsidR="001B5E2D" w:rsidRPr="001B5E2D" w:rsidRDefault="001B5E2D" w:rsidP="001B5E2D">
      <w:pPr>
        <w:spacing w:after="0" w:line="240" w:lineRule="auto"/>
        <w:contextualSpacing/>
        <w:jc w:val="center"/>
        <w:rPr>
          <w:rFonts w:ascii="Times New Roman" w:eastAsia="Calibri" w:hAnsi="Times New Roman" w:cs="Times New Roman"/>
          <w:b/>
          <w:sz w:val="24"/>
          <w:szCs w:val="24"/>
        </w:rPr>
      </w:pPr>
      <w:r w:rsidRPr="001B5E2D">
        <w:rPr>
          <w:rFonts w:ascii="Times New Roman" w:eastAsia="Calibri" w:hAnsi="Times New Roman" w:cs="Times New Roman"/>
          <w:b/>
          <w:sz w:val="24"/>
          <w:szCs w:val="24"/>
        </w:rPr>
        <w:lastRenderedPageBreak/>
        <w:t>Расчеты за электроэнергию и услуги по ее передаче</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2"/>
        <w:gridCol w:w="823"/>
        <w:gridCol w:w="1029"/>
        <w:gridCol w:w="1028"/>
        <w:gridCol w:w="1029"/>
        <w:gridCol w:w="950"/>
      </w:tblGrid>
      <w:tr w:rsidR="00414F30" w:rsidRPr="00B369F9" w:rsidTr="00ED41C8">
        <w:trPr>
          <w:cantSplit/>
          <w:trHeight w:val="60"/>
          <w:jc w:val="center"/>
        </w:trPr>
        <w:tc>
          <w:tcPr>
            <w:tcW w:w="5342" w:type="dxa"/>
            <w:vMerge w:val="restart"/>
            <w:vAlign w:val="center"/>
          </w:tcPr>
          <w:p w:rsidR="00414F30" w:rsidRPr="00B369F9" w:rsidRDefault="00414F30" w:rsidP="008275D9">
            <w:pPr>
              <w:widowControl w:val="0"/>
              <w:spacing w:after="0" w:line="240" w:lineRule="auto"/>
              <w:ind w:left="-113" w:right="-114"/>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Показатели</w:t>
            </w:r>
          </w:p>
        </w:tc>
        <w:tc>
          <w:tcPr>
            <w:tcW w:w="823" w:type="dxa"/>
            <w:vMerge w:val="restart"/>
            <w:vAlign w:val="center"/>
          </w:tcPr>
          <w:p w:rsidR="00414F30" w:rsidRPr="00B369F9" w:rsidRDefault="00414F30" w:rsidP="008275D9">
            <w:pPr>
              <w:widowControl w:val="0"/>
              <w:tabs>
                <w:tab w:val="left" w:pos="40"/>
              </w:tabs>
              <w:spacing w:after="0" w:line="240" w:lineRule="auto"/>
              <w:ind w:left="-111" w:right="-112"/>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Ед. изм.</w:t>
            </w:r>
          </w:p>
        </w:tc>
        <w:tc>
          <w:tcPr>
            <w:tcW w:w="4036" w:type="dxa"/>
            <w:gridSpan w:val="4"/>
            <w:vAlign w:val="center"/>
          </w:tcPr>
          <w:p w:rsidR="00414F30" w:rsidRPr="00B369F9" w:rsidRDefault="00414F30" w:rsidP="00414F30">
            <w:pPr>
              <w:widowControl w:val="0"/>
              <w:spacing w:after="0" w:line="240" w:lineRule="auto"/>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Период</w:t>
            </w:r>
          </w:p>
        </w:tc>
      </w:tr>
      <w:tr w:rsidR="00414F30" w:rsidRPr="00B369F9" w:rsidTr="00AA62BE">
        <w:trPr>
          <w:cantSplit/>
          <w:jc w:val="center"/>
        </w:trPr>
        <w:tc>
          <w:tcPr>
            <w:tcW w:w="5342" w:type="dxa"/>
            <w:vMerge/>
          </w:tcPr>
          <w:p w:rsidR="00414F30" w:rsidRPr="00B369F9" w:rsidRDefault="00414F30" w:rsidP="008275D9">
            <w:pPr>
              <w:widowControl w:val="0"/>
              <w:spacing w:after="0" w:line="240" w:lineRule="auto"/>
              <w:ind w:left="426" w:right="-143" w:hanging="426"/>
              <w:jc w:val="center"/>
              <w:rPr>
                <w:rFonts w:ascii="Times New Roman" w:eastAsia="Times New Roman" w:hAnsi="Times New Roman" w:cs="Times New Roman"/>
                <w:b/>
                <w:bCs/>
                <w:color w:val="000000"/>
                <w:sz w:val="24"/>
                <w:szCs w:val="24"/>
                <w:lang w:eastAsia="ru-RU"/>
              </w:rPr>
            </w:pPr>
          </w:p>
        </w:tc>
        <w:tc>
          <w:tcPr>
            <w:tcW w:w="823" w:type="dxa"/>
            <w:vMerge/>
          </w:tcPr>
          <w:p w:rsidR="00414F30" w:rsidRPr="00B369F9" w:rsidRDefault="00414F30" w:rsidP="008275D9">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24"/>
                <w:szCs w:val="24"/>
                <w:lang w:eastAsia="ru-RU"/>
              </w:rPr>
            </w:pPr>
          </w:p>
        </w:tc>
        <w:tc>
          <w:tcPr>
            <w:tcW w:w="1029" w:type="dxa"/>
            <w:vAlign w:val="center"/>
          </w:tcPr>
          <w:p w:rsidR="00414F30" w:rsidRPr="00B369F9" w:rsidRDefault="00414F30" w:rsidP="008275D9">
            <w:pPr>
              <w:widowControl w:val="0"/>
              <w:spacing w:after="0" w:line="240" w:lineRule="auto"/>
              <w:ind w:left="-96" w:right="-122"/>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2021 год</w:t>
            </w:r>
          </w:p>
          <w:p w:rsidR="00414F30" w:rsidRPr="00B369F9" w:rsidDel="001A6DB5" w:rsidRDefault="00414F30" w:rsidP="008275D9">
            <w:pPr>
              <w:widowControl w:val="0"/>
              <w:spacing w:after="0" w:line="240" w:lineRule="auto"/>
              <w:ind w:left="-96" w:right="-122"/>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факт</w:t>
            </w:r>
          </w:p>
        </w:tc>
        <w:tc>
          <w:tcPr>
            <w:tcW w:w="1028" w:type="dxa"/>
            <w:shd w:val="clear" w:color="auto" w:fill="auto"/>
            <w:vAlign w:val="center"/>
          </w:tcPr>
          <w:p w:rsidR="00414F30" w:rsidRPr="00B369F9" w:rsidRDefault="00414F30" w:rsidP="008275D9">
            <w:pPr>
              <w:widowControl w:val="0"/>
              <w:spacing w:after="0" w:line="240" w:lineRule="auto"/>
              <w:ind w:left="-113" w:right="-138"/>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2022 год</w:t>
            </w:r>
          </w:p>
          <w:p w:rsidR="00414F30" w:rsidRPr="00B369F9" w:rsidRDefault="00414F30" w:rsidP="008275D9">
            <w:pPr>
              <w:widowControl w:val="0"/>
              <w:spacing w:after="0" w:line="240" w:lineRule="auto"/>
              <w:ind w:left="-113" w:right="-138"/>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факт</w:t>
            </w:r>
          </w:p>
        </w:tc>
        <w:tc>
          <w:tcPr>
            <w:tcW w:w="1029" w:type="dxa"/>
            <w:vAlign w:val="center"/>
          </w:tcPr>
          <w:p w:rsidR="00414F30" w:rsidRPr="00B369F9" w:rsidRDefault="00414F30" w:rsidP="008275D9">
            <w:pPr>
              <w:widowControl w:val="0"/>
              <w:spacing w:after="0" w:line="240" w:lineRule="auto"/>
              <w:ind w:left="-119" w:right="-143"/>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2023 год</w:t>
            </w:r>
          </w:p>
          <w:p w:rsidR="00414F30" w:rsidRPr="00B369F9" w:rsidRDefault="00414F30" w:rsidP="008275D9">
            <w:pPr>
              <w:widowControl w:val="0"/>
              <w:spacing w:after="0" w:line="240" w:lineRule="auto"/>
              <w:ind w:left="-119" w:right="-143"/>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факт</w:t>
            </w:r>
          </w:p>
        </w:tc>
        <w:tc>
          <w:tcPr>
            <w:tcW w:w="950" w:type="dxa"/>
            <w:vAlign w:val="center"/>
          </w:tcPr>
          <w:p w:rsidR="00414F30" w:rsidRPr="00B369F9" w:rsidRDefault="00414F30" w:rsidP="00414F30">
            <w:pPr>
              <w:widowControl w:val="0"/>
              <w:spacing w:after="0" w:line="240" w:lineRule="auto"/>
              <w:ind w:left="-107" w:right="-143"/>
              <w:jc w:val="center"/>
              <w:rPr>
                <w:rFonts w:ascii="Times New Roman" w:eastAsia="Times New Roman" w:hAnsi="Times New Roman" w:cs="Times New Roman"/>
                <w:b/>
                <w:bCs/>
                <w:color w:val="000000"/>
                <w:sz w:val="24"/>
                <w:szCs w:val="24"/>
                <w:lang w:eastAsia="ru-RU"/>
              </w:rPr>
            </w:pPr>
            <w:r w:rsidRPr="00B369F9">
              <w:rPr>
                <w:rFonts w:ascii="Times New Roman" w:eastAsia="Times New Roman" w:hAnsi="Times New Roman" w:cs="Times New Roman"/>
                <w:b/>
                <w:bCs/>
                <w:color w:val="000000"/>
                <w:sz w:val="24"/>
                <w:szCs w:val="24"/>
                <w:lang w:eastAsia="ru-RU"/>
              </w:rPr>
              <w:t>изменение 2023/2022, %</w:t>
            </w:r>
          </w:p>
        </w:tc>
      </w:tr>
      <w:tr w:rsidR="00414F30" w:rsidRPr="00B369F9" w:rsidTr="00AA62BE">
        <w:trPr>
          <w:cantSplit/>
          <w:jc w:val="center"/>
        </w:trPr>
        <w:tc>
          <w:tcPr>
            <w:tcW w:w="5342" w:type="dxa"/>
            <w:tcBorders>
              <w:top w:val="single" w:sz="4" w:space="0" w:color="auto"/>
              <w:left w:val="single" w:sz="4" w:space="0" w:color="auto"/>
              <w:bottom w:val="single" w:sz="4" w:space="0" w:color="auto"/>
            </w:tcBorders>
            <w:vAlign w:val="center"/>
          </w:tcPr>
          <w:p w:rsidR="00414F30" w:rsidRPr="00B369F9" w:rsidRDefault="00414F30" w:rsidP="008275D9">
            <w:pPr>
              <w:tabs>
                <w:tab w:val="left" w:pos="9356"/>
              </w:tabs>
              <w:spacing w:after="0" w:line="240" w:lineRule="auto"/>
              <w:ind w:left="28"/>
              <w:jc w:val="both"/>
              <w:rPr>
                <w:rFonts w:ascii="Times New Roman" w:hAnsi="Times New Roman" w:cs="Times New Roman"/>
                <w:color w:val="000000"/>
                <w:sz w:val="24"/>
                <w:szCs w:val="24"/>
              </w:rPr>
            </w:pPr>
            <w:r w:rsidRPr="00B369F9">
              <w:rPr>
                <w:rFonts w:ascii="Times New Roman" w:hAnsi="Times New Roman" w:cs="Times New Roman"/>
                <w:color w:val="000000"/>
                <w:sz w:val="24"/>
                <w:szCs w:val="24"/>
              </w:rPr>
              <w:t>Уровень сбора денежных средств за поставленную на розничном рынке электроэнергию</w:t>
            </w:r>
          </w:p>
        </w:tc>
        <w:tc>
          <w:tcPr>
            <w:tcW w:w="823" w:type="dxa"/>
            <w:tcBorders>
              <w:top w:val="single" w:sz="4" w:space="0" w:color="auto"/>
              <w:left w:val="single" w:sz="4" w:space="0" w:color="auto"/>
              <w:bottom w:val="single" w:sz="4" w:space="0" w:color="auto"/>
            </w:tcBorders>
          </w:tcPr>
          <w:p w:rsidR="00414F30" w:rsidRPr="00B369F9" w:rsidRDefault="00414F30" w:rsidP="008275D9">
            <w:pPr>
              <w:spacing w:after="0" w:line="240" w:lineRule="auto"/>
              <w:ind w:left="-110" w:right="-143"/>
              <w:jc w:val="center"/>
              <w:rPr>
                <w:rFonts w:ascii="Times New Roman" w:eastAsia="Times New Roman" w:hAnsi="Times New Roman" w:cs="Times New Roman"/>
                <w:bCs/>
                <w:color w:val="000000"/>
                <w:sz w:val="24"/>
                <w:szCs w:val="24"/>
                <w:lang w:eastAsia="ru-RU"/>
              </w:rPr>
            </w:pPr>
            <w:r w:rsidRPr="00B369F9">
              <w:rPr>
                <w:rFonts w:ascii="Times New Roman" w:eastAsia="Times New Roman" w:hAnsi="Times New Roman" w:cs="Times New Roman"/>
                <w:bCs/>
                <w:color w:val="000000"/>
                <w:sz w:val="24"/>
                <w:szCs w:val="24"/>
                <w:lang w:eastAsia="ru-RU"/>
              </w:rPr>
              <w:t>%</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90,8</w:t>
            </w:r>
          </w:p>
        </w:tc>
        <w:tc>
          <w:tcPr>
            <w:tcW w:w="1028"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93,5</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93,9</w:t>
            </w:r>
          </w:p>
        </w:tc>
        <w:tc>
          <w:tcPr>
            <w:tcW w:w="950"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0,4</w:t>
            </w:r>
          </w:p>
        </w:tc>
      </w:tr>
      <w:tr w:rsidR="00414F30" w:rsidRPr="00B369F9" w:rsidTr="00AA62BE">
        <w:trPr>
          <w:cantSplit/>
          <w:jc w:val="center"/>
        </w:trPr>
        <w:tc>
          <w:tcPr>
            <w:tcW w:w="5342" w:type="dxa"/>
            <w:tcBorders>
              <w:top w:val="single" w:sz="4" w:space="0" w:color="auto"/>
              <w:left w:val="single" w:sz="4" w:space="0" w:color="auto"/>
              <w:bottom w:val="single" w:sz="4" w:space="0" w:color="auto"/>
            </w:tcBorders>
            <w:vAlign w:val="center"/>
          </w:tcPr>
          <w:p w:rsidR="00414F30" w:rsidRPr="00B369F9" w:rsidRDefault="00414F30" w:rsidP="008275D9">
            <w:pPr>
              <w:tabs>
                <w:tab w:val="left" w:pos="9356"/>
              </w:tabs>
              <w:spacing w:after="0" w:line="240" w:lineRule="auto"/>
              <w:ind w:left="28"/>
              <w:jc w:val="both"/>
              <w:rPr>
                <w:rFonts w:ascii="Times New Roman" w:hAnsi="Times New Roman" w:cs="Times New Roman"/>
                <w:color w:val="000000"/>
                <w:sz w:val="24"/>
                <w:szCs w:val="24"/>
              </w:rPr>
            </w:pPr>
            <w:r w:rsidRPr="00B369F9">
              <w:rPr>
                <w:rFonts w:ascii="Times New Roman" w:hAnsi="Times New Roman" w:cs="Times New Roman"/>
                <w:color w:val="000000"/>
                <w:sz w:val="24"/>
                <w:szCs w:val="24"/>
              </w:rPr>
              <w:t>Уровень сбора денежных средств за оказанные услуги по передаче электроэнергии</w:t>
            </w:r>
          </w:p>
        </w:tc>
        <w:tc>
          <w:tcPr>
            <w:tcW w:w="823" w:type="dxa"/>
            <w:tcBorders>
              <w:top w:val="single" w:sz="4" w:space="0" w:color="auto"/>
              <w:left w:val="single" w:sz="4" w:space="0" w:color="auto"/>
              <w:bottom w:val="single" w:sz="4" w:space="0" w:color="auto"/>
            </w:tcBorders>
          </w:tcPr>
          <w:p w:rsidR="00414F30" w:rsidRPr="00B369F9" w:rsidRDefault="00414F30" w:rsidP="008275D9">
            <w:pPr>
              <w:spacing w:after="0" w:line="240" w:lineRule="auto"/>
              <w:ind w:left="-110" w:right="-143"/>
              <w:jc w:val="center"/>
              <w:rPr>
                <w:rFonts w:ascii="Times New Roman" w:eastAsia="Times New Roman" w:hAnsi="Times New Roman" w:cs="Times New Roman"/>
                <w:bCs/>
                <w:color w:val="000000"/>
                <w:sz w:val="24"/>
                <w:szCs w:val="24"/>
                <w:lang w:eastAsia="ru-RU"/>
              </w:rPr>
            </w:pPr>
            <w:r w:rsidRPr="00B369F9">
              <w:rPr>
                <w:rFonts w:ascii="Times New Roman" w:eastAsia="Times New Roman" w:hAnsi="Times New Roman" w:cs="Times New Roman"/>
                <w:bCs/>
                <w:color w:val="000000"/>
                <w:sz w:val="24"/>
                <w:szCs w:val="24"/>
                <w:lang w:eastAsia="ru-RU"/>
              </w:rPr>
              <w:t>%</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100,5</w:t>
            </w:r>
          </w:p>
        </w:tc>
        <w:tc>
          <w:tcPr>
            <w:tcW w:w="1028"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0</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100</w:t>
            </w:r>
          </w:p>
        </w:tc>
        <w:tc>
          <w:tcPr>
            <w:tcW w:w="950" w:type="dxa"/>
            <w:tcBorders>
              <w:top w:val="single" w:sz="4" w:space="0" w:color="auto"/>
              <w:left w:val="single" w:sz="4" w:space="0" w:color="auto"/>
              <w:bottom w:val="single" w:sz="4" w:space="0" w:color="auto"/>
            </w:tcBorders>
            <w:vAlign w:val="center"/>
          </w:tcPr>
          <w:p w:rsidR="00414F30" w:rsidRPr="00B369F9" w:rsidRDefault="0061502D" w:rsidP="008275D9">
            <w:pPr>
              <w:jc w:val="center"/>
              <w:rPr>
                <w:rFonts w:ascii="Times New Roman" w:hAnsi="Times New Roman" w:cs="Times New Roman"/>
                <w:color w:val="000000"/>
                <w:sz w:val="24"/>
                <w:szCs w:val="24"/>
              </w:rPr>
            </w:pPr>
            <w:r>
              <w:rPr>
                <w:rFonts w:ascii="Times New Roman" w:hAnsi="Times New Roman" w:cs="Times New Roman"/>
                <w:color w:val="000000"/>
                <w:sz w:val="24"/>
                <w:szCs w:val="24"/>
              </w:rPr>
              <w:t>100</w:t>
            </w:r>
          </w:p>
        </w:tc>
      </w:tr>
      <w:tr w:rsidR="00414F30" w:rsidRPr="00B369F9" w:rsidTr="00AA62BE">
        <w:trPr>
          <w:cantSplit/>
          <w:trHeight w:val="489"/>
          <w:jc w:val="center"/>
        </w:trPr>
        <w:tc>
          <w:tcPr>
            <w:tcW w:w="5342" w:type="dxa"/>
            <w:tcBorders>
              <w:top w:val="single" w:sz="4" w:space="0" w:color="auto"/>
              <w:left w:val="single" w:sz="4" w:space="0" w:color="auto"/>
              <w:bottom w:val="single" w:sz="4" w:space="0" w:color="auto"/>
            </w:tcBorders>
            <w:vAlign w:val="center"/>
          </w:tcPr>
          <w:p w:rsidR="00414F30" w:rsidRPr="00B369F9" w:rsidRDefault="00414F30" w:rsidP="008275D9">
            <w:pPr>
              <w:tabs>
                <w:tab w:val="left" w:pos="9356"/>
              </w:tabs>
              <w:spacing w:after="0" w:line="240" w:lineRule="auto"/>
              <w:ind w:left="28"/>
              <w:jc w:val="both"/>
              <w:rPr>
                <w:rFonts w:ascii="Times New Roman" w:hAnsi="Times New Roman" w:cs="Times New Roman"/>
                <w:color w:val="000000"/>
                <w:sz w:val="24"/>
                <w:szCs w:val="24"/>
              </w:rPr>
            </w:pPr>
            <w:r w:rsidRPr="00B369F9">
              <w:rPr>
                <w:rFonts w:ascii="Times New Roman" w:hAnsi="Times New Roman" w:cs="Times New Roman"/>
                <w:color w:val="000000"/>
                <w:sz w:val="24"/>
                <w:szCs w:val="24"/>
              </w:rPr>
              <w:t>Уровень расчетов с поставщиками электрической энергии</w:t>
            </w:r>
          </w:p>
        </w:tc>
        <w:tc>
          <w:tcPr>
            <w:tcW w:w="823" w:type="dxa"/>
            <w:tcBorders>
              <w:top w:val="single" w:sz="4" w:space="0" w:color="auto"/>
              <w:left w:val="single" w:sz="4" w:space="0" w:color="auto"/>
              <w:bottom w:val="single" w:sz="4" w:space="0" w:color="auto"/>
            </w:tcBorders>
          </w:tcPr>
          <w:p w:rsidR="00414F30" w:rsidRPr="00B369F9" w:rsidRDefault="00414F30" w:rsidP="008275D9">
            <w:pPr>
              <w:spacing w:after="0" w:line="240" w:lineRule="auto"/>
              <w:ind w:left="-110" w:right="-143"/>
              <w:jc w:val="center"/>
              <w:rPr>
                <w:rFonts w:ascii="Times New Roman" w:eastAsia="Times New Roman" w:hAnsi="Times New Roman" w:cs="Times New Roman"/>
                <w:bCs/>
                <w:color w:val="000000"/>
                <w:sz w:val="24"/>
                <w:szCs w:val="24"/>
                <w:lang w:eastAsia="ru-RU"/>
              </w:rPr>
            </w:pPr>
            <w:r w:rsidRPr="00B369F9">
              <w:rPr>
                <w:rFonts w:ascii="Times New Roman" w:eastAsia="Times New Roman" w:hAnsi="Times New Roman" w:cs="Times New Roman"/>
                <w:bCs/>
                <w:color w:val="000000"/>
                <w:sz w:val="24"/>
                <w:szCs w:val="24"/>
                <w:lang w:eastAsia="ru-RU"/>
              </w:rPr>
              <w:t>%</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113,6</w:t>
            </w:r>
          </w:p>
        </w:tc>
        <w:tc>
          <w:tcPr>
            <w:tcW w:w="1028"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136,2</w:t>
            </w:r>
          </w:p>
        </w:tc>
        <w:tc>
          <w:tcPr>
            <w:tcW w:w="1029"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96,2</w:t>
            </w:r>
          </w:p>
        </w:tc>
        <w:tc>
          <w:tcPr>
            <w:tcW w:w="950" w:type="dxa"/>
            <w:tcBorders>
              <w:top w:val="single" w:sz="4" w:space="0" w:color="auto"/>
              <w:left w:val="single" w:sz="4" w:space="0" w:color="auto"/>
              <w:bottom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-29,4</w:t>
            </w:r>
          </w:p>
        </w:tc>
      </w:tr>
      <w:tr w:rsidR="00414F30" w:rsidRPr="00B369F9" w:rsidTr="00AA62BE">
        <w:trPr>
          <w:cantSplit/>
          <w:trHeight w:val="581"/>
          <w:jc w:val="center"/>
        </w:trPr>
        <w:tc>
          <w:tcPr>
            <w:tcW w:w="5342" w:type="dxa"/>
            <w:tcBorders>
              <w:top w:val="single" w:sz="4" w:space="0" w:color="auto"/>
              <w:left w:val="single" w:sz="4" w:space="0" w:color="auto"/>
            </w:tcBorders>
            <w:vAlign w:val="center"/>
          </w:tcPr>
          <w:p w:rsidR="00414F30" w:rsidRPr="00B369F9" w:rsidRDefault="00414F30" w:rsidP="008275D9">
            <w:pPr>
              <w:tabs>
                <w:tab w:val="left" w:pos="9356"/>
              </w:tabs>
              <w:spacing w:after="0" w:line="240" w:lineRule="auto"/>
              <w:ind w:left="28"/>
              <w:jc w:val="both"/>
              <w:rPr>
                <w:rFonts w:ascii="Times New Roman" w:hAnsi="Times New Roman" w:cs="Times New Roman"/>
                <w:color w:val="000000"/>
                <w:sz w:val="24"/>
                <w:szCs w:val="24"/>
              </w:rPr>
            </w:pPr>
            <w:r w:rsidRPr="00B369F9">
              <w:rPr>
                <w:rFonts w:ascii="Times New Roman" w:hAnsi="Times New Roman" w:cs="Times New Roman"/>
                <w:color w:val="000000"/>
                <w:sz w:val="24"/>
                <w:szCs w:val="24"/>
              </w:rPr>
              <w:t>Уровень расчетов с сетевыми организациями</w:t>
            </w:r>
          </w:p>
        </w:tc>
        <w:tc>
          <w:tcPr>
            <w:tcW w:w="823" w:type="dxa"/>
            <w:tcBorders>
              <w:top w:val="single" w:sz="4" w:space="0" w:color="auto"/>
              <w:left w:val="single" w:sz="4" w:space="0" w:color="auto"/>
            </w:tcBorders>
          </w:tcPr>
          <w:p w:rsidR="00414F30" w:rsidRPr="00B369F9" w:rsidRDefault="00414F30" w:rsidP="008275D9">
            <w:pPr>
              <w:spacing w:after="0" w:line="240" w:lineRule="auto"/>
              <w:ind w:left="-110" w:right="-143"/>
              <w:jc w:val="center"/>
              <w:rPr>
                <w:rFonts w:ascii="Times New Roman" w:eastAsia="Times New Roman" w:hAnsi="Times New Roman" w:cs="Times New Roman"/>
                <w:bCs/>
                <w:color w:val="000000"/>
                <w:sz w:val="24"/>
                <w:szCs w:val="24"/>
                <w:lang w:eastAsia="ru-RU"/>
              </w:rPr>
            </w:pPr>
            <w:r w:rsidRPr="00B369F9">
              <w:rPr>
                <w:rFonts w:ascii="Times New Roman" w:eastAsia="Times New Roman" w:hAnsi="Times New Roman" w:cs="Times New Roman"/>
                <w:bCs/>
                <w:color w:val="000000"/>
                <w:sz w:val="24"/>
                <w:szCs w:val="24"/>
                <w:lang w:eastAsia="ru-RU"/>
              </w:rPr>
              <w:t>%</w:t>
            </w:r>
          </w:p>
        </w:tc>
        <w:tc>
          <w:tcPr>
            <w:tcW w:w="1029" w:type="dxa"/>
            <w:tcBorders>
              <w:top w:val="single" w:sz="4" w:space="0" w:color="auto"/>
              <w:left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104,1</w:t>
            </w:r>
          </w:p>
        </w:tc>
        <w:tc>
          <w:tcPr>
            <w:tcW w:w="1028" w:type="dxa"/>
            <w:tcBorders>
              <w:top w:val="single" w:sz="4" w:space="0" w:color="auto"/>
              <w:left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141,9</w:t>
            </w:r>
          </w:p>
        </w:tc>
        <w:tc>
          <w:tcPr>
            <w:tcW w:w="1029" w:type="dxa"/>
            <w:tcBorders>
              <w:top w:val="single" w:sz="4" w:space="0" w:color="auto"/>
              <w:left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98,7</w:t>
            </w:r>
          </w:p>
        </w:tc>
        <w:tc>
          <w:tcPr>
            <w:tcW w:w="950" w:type="dxa"/>
            <w:tcBorders>
              <w:top w:val="single" w:sz="4" w:space="0" w:color="auto"/>
              <w:left w:val="single" w:sz="4" w:space="0" w:color="auto"/>
            </w:tcBorders>
            <w:vAlign w:val="center"/>
          </w:tcPr>
          <w:p w:rsidR="00414F30" w:rsidRPr="00B369F9" w:rsidRDefault="00414F30" w:rsidP="008275D9">
            <w:pPr>
              <w:jc w:val="center"/>
              <w:rPr>
                <w:rFonts w:ascii="Times New Roman" w:hAnsi="Times New Roman" w:cs="Times New Roman"/>
                <w:color w:val="000000"/>
                <w:sz w:val="24"/>
                <w:szCs w:val="24"/>
              </w:rPr>
            </w:pPr>
            <w:r w:rsidRPr="00B369F9">
              <w:rPr>
                <w:rFonts w:ascii="Times New Roman" w:hAnsi="Times New Roman" w:cs="Times New Roman"/>
                <w:color w:val="000000"/>
                <w:sz w:val="24"/>
                <w:szCs w:val="24"/>
              </w:rPr>
              <w:t>-30,4</w:t>
            </w:r>
          </w:p>
        </w:tc>
      </w:tr>
    </w:tbl>
    <w:p w:rsidR="00414F30" w:rsidRPr="00B369F9" w:rsidRDefault="00414F30" w:rsidP="00283BEF">
      <w:pPr>
        <w:spacing w:after="0" w:line="240" w:lineRule="auto"/>
        <w:ind w:firstLine="708"/>
        <w:contextualSpacing/>
        <w:jc w:val="both"/>
        <w:rPr>
          <w:rFonts w:ascii="Times New Roman" w:hAnsi="Times New Roman" w:cs="Times New Roman"/>
          <w:kern w:val="1"/>
          <w:sz w:val="24"/>
          <w:szCs w:val="24"/>
        </w:rPr>
      </w:pPr>
      <w:r w:rsidRPr="00B369F9">
        <w:rPr>
          <w:rFonts w:ascii="Times New Roman" w:hAnsi="Times New Roman" w:cs="Times New Roman"/>
          <w:kern w:val="1"/>
          <w:sz w:val="24"/>
          <w:szCs w:val="24"/>
        </w:rPr>
        <w:t xml:space="preserve">Снижение уровня расчетов с поставщиками электрической энергии в 2023 году относительно факта 2022 года на 29,4 % обусловлено оплатой в </w:t>
      </w:r>
      <w:r w:rsidRPr="00B369F9">
        <w:rPr>
          <w:rFonts w:ascii="Times New Roman" w:hAnsi="Times New Roman" w:cs="Times New Roman"/>
          <w:kern w:val="1"/>
          <w:sz w:val="24"/>
          <w:szCs w:val="24"/>
          <w:lang w:val="en-US"/>
        </w:rPr>
        <w:t>I</w:t>
      </w:r>
      <w:r w:rsidRPr="00B369F9">
        <w:rPr>
          <w:rFonts w:ascii="Times New Roman" w:hAnsi="Times New Roman" w:cs="Times New Roman"/>
          <w:kern w:val="1"/>
          <w:sz w:val="24"/>
          <w:szCs w:val="24"/>
        </w:rPr>
        <w:t xml:space="preserve"> квартале 2022 года просроченной задолженности прошлых лет, сложившейся на 01.01.2022.</w:t>
      </w:r>
    </w:p>
    <w:bookmarkEnd w:id="0"/>
    <w:p w:rsidR="000F524A" w:rsidRPr="00B369F9" w:rsidRDefault="000F524A" w:rsidP="00553EE3">
      <w:pPr>
        <w:pStyle w:val="2"/>
        <w:ind w:right="-143" w:firstLine="709"/>
        <w:rPr>
          <w:sz w:val="24"/>
        </w:rPr>
      </w:pPr>
    </w:p>
    <w:p w:rsidR="003F39BC" w:rsidRDefault="003F39BC" w:rsidP="005B2B61">
      <w:pPr>
        <w:pStyle w:val="1"/>
        <w:ind w:firstLine="709"/>
      </w:pPr>
      <w:bookmarkStart w:id="10" w:name="_Toc163738857"/>
      <w:r w:rsidRPr="00F52703">
        <w:t>Ключевые показатели эффективности</w:t>
      </w:r>
      <w:r w:rsidR="00F52703" w:rsidRPr="00F52703">
        <w:t xml:space="preserve"> и функциональные ключевые показатели эффективности</w:t>
      </w:r>
      <w:bookmarkEnd w:id="10"/>
    </w:p>
    <w:p w:rsidR="00FA129F" w:rsidRPr="00FA129F" w:rsidRDefault="00FA129F" w:rsidP="00FA129F">
      <w:pPr>
        <w:spacing w:after="0" w:line="240" w:lineRule="auto"/>
        <w:rPr>
          <w:lang w:eastAsia="ru-RU"/>
        </w:rPr>
      </w:pPr>
    </w:p>
    <w:p w:rsidR="00B06F6F" w:rsidRPr="00B06F6F" w:rsidRDefault="00B06F6F" w:rsidP="00B06F6F">
      <w:pPr>
        <w:spacing w:after="0" w:line="240" w:lineRule="auto"/>
        <w:ind w:firstLine="709"/>
        <w:jc w:val="both"/>
        <w:rPr>
          <w:rFonts w:ascii="Times New Roman" w:eastAsia="Calibri" w:hAnsi="Times New Roman" w:cs="Times New Roman"/>
          <w:sz w:val="24"/>
        </w:rPr>
      </w:pPr>
      <w:bookmarkStart w:id="11" w:name="_Toc473537015"/>
      <w:r w:rsidRPr="00B06F6F">
        <w:rPr>
          <w:rFonts w:ascii="Times New Roman" w:eastAsia="Calibri" w:hAnsi="Times New Roman" w:cs="Times New Roman"/>
          <w:sz w:val="24"/>
        </w:rPr>
        <w:t>С 2023 года формирование системы ключевых показателей эффективности группы компаний «Россети» осуществляется в соответствии с распоряжением Правительства Российской Федерации от 28.12.2020 № 3579-р (далее – распоряжение № 3579-р) на основании Директив Правительства Российской Федерации от 31.01.2023 №</w:t>
      </w:r>
      <w:r w:rsidR="00CF4DAD">
        <w:rPr>
          <w:rFonts w:ascii="Times New Roman" w:eastAsia="Calibri" w:hAnsi="Times New Roman" w:cs="Times New Roman"/>
          <w:sz w:val="24"/>
        </w:rPr>
        <w:t xml:space="preserve"> </w:t>
      </w:r>
      <w:r w:rsidRPr="00B06F6F">
        <w:rPr>
          <w:rFonts w:ascii="Times New Roman" w:eastAsia="Calibri" w:hAnsi="Times New Roman" w:cs="Times New Roman"/>
          <w:sz w:val="24"/>
        </w:rPr>
        <w:t>991п-П13.</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С 2020 до 2022 года включительно система ключевых показателей эффективности формировалась на основании распоряжения Правительства Российской Федерации от 27.06.2019 № 1388-р.</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В соответствии с распоряжением № 3579-р система ключевых показателей эффективности разделена на две группы показателей - ключевые показатели эффективности (далее – КПЭ) и функциональные ключевые показатели эффективности (далее – ФКПЭ). При этом, КПЭ – это показатели, связанные со стратегическими документами Общества, на основании которых оценивается эффективность деятельности всего руководящего состава Общества (руководитель, заместители руководителя, главный бухгалтер), ФКПЭ – это индивидуальные показатели, устанавливаемые для должностных лиц Общества персонально с учетом специфики курируемых ими направлений деятельности Общества.</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 xml:space="preserve">Применяемая в Обществе система КПЭ и ФКПЭ взаимоувязана с размером переменной части вознаграждения менеджмента (50% стимулирующих выплат за достижение КПЭ, 50% стимулирующих выплат за достижение ФКПЭ) – для каждого из показателей установлен удельный вес в объеме выплачиваемых премий, годовое премирование производится при условии выполнения соответствующих показателей. </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Сравнение показателей 2023 года с показателями 2022 года не производится ввиду существенного изменения состава и порядков расчета КПЭ и ФКПЭ.</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КПЭ и ФКПЭ Общества и их целевые значения на 2023 – 2025 годы установлены на основании:</w:t>
      </w:r>
    </w:p>
    <w:p w:rsidR="00B06F6F" w:rsidRPr="00B06F6F" w:rsidRDefault="00B06F6F" w:rsidP="00B06F6F">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 подпункта 50 пункта 15.1 статьи 15 Устава Общества,</w:t>
      </w:r>
    </w:p>
    <w:p w:rsidR="00F52703" w:rsidRDefault="00B06F6F" w:rsidP="009D5C51">
      <w:pPr>
        <w:spacing w:after="0" w:line="240" w:lineRule="auto"/>
        <w:ind w:firstLine="709"/>
        <w:jc w:val="both"/>
        <w:rPr>
          <w:rFonts w:ascii="Times New Roman" w:eastAsia="Calibri" w:hAnsi="Times New Roman" w:cs="Times New Roman"/>
          <w:sz w:val="24"/>
        </w:rPr>
      </w:pPr>
      <w:r w:rsidRPr="00B06F6F">
        <w:rPr>
          <w:rFonts w:ascii="Times New Roman" w:eastAsia="Calibri" w:hAnsi="Times New Roman" w:cs="Times New Roman"/>
          <w:sz w:val="24"/>
        </w:rPr>
        <w:t>– решения Совета директоров Общества от 15.1</w:t>
      </w:r>
      <w:r>
        <w:rPr>
          <w:rFonts w:ascii="Times New Roman" w:eastAsia="Calibri" w:hAnsi="Times New Roman" w:cs="Times New Roman"/>
          <w:sz w:val="24"/>
        </w:rPr>
        <w:t xml:space="preserve">2.2023 (протокол от 15.12.2023 </w:t>
      </w:r>
      <w:r w:rsidRPr="00B06F6F">
        <w:rPr>
          <w:rFonts w:ascii="Times New Roman" w:eastAsia="Calibri" w:hAnsi="Times New Roman" w:cs="Times New Roman"/>
          <w:sz w:val="24"/>
        </w:rPr>
        <w:t>№</w:t>
      </w:r>
      <w:r>
        <w:rPr>
          <w:rFonts w:ascii="Times New Roman" w:eastAsia="Calibri" w:hAnsi="Times New Roman" w:cs="Times New Roman"/>
          <w:sz w:val="24"/>
        </w:rPr>
        <w:t> </w:t>
      </w:r>
      <w:r w:rsidRPr="00B06F6F">
        <w:rPr>
          <w:rFonts w:ascii="Times New Roman" w:eastAsia="Calibri" w:hAnsi="Times New Roman" w:cs="Times New Roman"/>
          <w:sz w:val="24"/>
        </w:rPr>
        <w:t>318).</w:t>
      </w:r>
    </w:p>
    <w:p w:rsidR="00F52703" w:rsidRDefault="00F52703" w:rsidP="00F52703">
      <w:pPr>
        <w:spacing w:line="240" w:lineRule="auto"/>
        <w:contextualSpacing/>
        <w:jc w:val="both"/>
        <w:rPr>
          <w:rFonts w:ascii="Times New Roman" w:eastAsia="Calibri" w:hAnsi="Times New Roman" w:cs="Times New Roman"/>
          <w:sz w:val="24"/>
        </w:rPr>
        <w:sectPr w:rsidR="00F52703" w:rsidSect="007C4552">
          <w:footerReference w:type="default" r:id="rId9"/>
          <w:pgSz w:w="11906" w:h="16838"/>
          <w:pgMar w:top="1134" w:right="850" w:bottom="1134" w:left="1701" w:header="708" w:footer="708" w:gutter="0"/>
          <w:cols w:space="708"/>
          <w:titlePg/>
          <w:docGrid w:linePitch="360"/>
        </w:sectPr>
      </w:pPr>
    </w:p>
    <w:tbl>
      <w:tblPr>
        <w:tblStyle w:val="af3"/>
        <w:tblW w:w="15559" w:type="dxa"/>
        <w:tblInd w:w="-431" w:type="dxa"/>
        <w:tblLayout w:type="fixed"/>
        <w:tblLook w:val="04A0" w:firstRow="1" w:lastRow="0" w:firstColumn="1" w:lastColumn="0" w:noHBand="0" w:noVBand="1"/>
      </w:tblPr>
      <w:tblGrid>
        <w:gridCol w:w="1668"/>
        <w:gridCol w:w="2835"/>
        <w:gridCol w:w="992"/>
        <w:gridCol w:w="567"/>
        <w:gridCol w:w="1276"/>
        <w:gridCol w:w="992"/>
        <w:gridCol w:w="1134"/>
        <w:gridCol w:w="1134"/>
        <w:gridCol w:w="992"/>
        <w:gridCol w:w="1134"/>
        <w:gridCol w:w="851"/>
        <w:gridCol w:w="992"/>
        <w:gridCol w:w="992"/>
      </w:tblGrid>
      <w:tr w:rsidR="00CF4DAD" w:rsidRPr="00D355DE" w:rsidTr="00CF4DAD">
        <w:trPr>
          <w:trHeight w:val="1683"/>
          <w:tblHeader/>
        </w:trPr>
        <w:tc>
          <w:tcPr>
            <w:tcW w:w="1668"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lastRenderedPageBreak/>
              <w:t>Наименование показателя</w:t>
            </w:r>
          </w:p>
        </w:tc>
        <w:tc>
          <w:tcPr>
            <w:tcW w:w="2835"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Порядок расчета</w:t>
            </w:r>
          </w:p>
        </w:tc>
        <w:tc>
          <w:tcPr>
            <w:tcW w:w="992"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Вес в системе вознаграждения на 2023 год, %</w:t>
            </w:r>
          </w:p>
        </w:tc>
        <w:tc>
          <w:tcPr>
            <w:tcW w:w="567"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Ед. изм.</w:t>
            </w:r>
          </w:p>
        </w:tc>
        <w:tc>
          <w:tcPr>
            <w:tcW w:w="1276"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Признак расчета показателя</w:t>
            </w:r>
          </w:p>
        </w:tc>
        <w:tc>
          <w:tcPr>
            <w:tcW w:w="992"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Целевое значение на 2023 год</w:t>
            </w:r>
          </w:p>
        </w:tc>
        <w:tc>
          <w:tcPr>
            <w:tcW w:w="1134"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Минимальное значение</w:t>
            </w:r>
          </w:p>
        </w:tc>
        <w:tc>
          <w:tcPr>
            <w:tcW w:w="1134" w:type="dxa"/>
            <w:vAlign w:val="center"/>
          </w:tcPr>
          <w:p w:rsidR="00CF4DAD" w:rsidRPr="007A7910" w:rsidRDefault="00CF4DAD" w:rsidP="00CF4DAD">
            <w:pPr>
              <w:spacing w:after="0" w:line="240" w:lineRule="auto"/>
              <w:contextualSpacing/>
              <w:jc w:val="center"/>
              <w:rPr>
                <w:rFonts w:eastAsia="Calibri"/>
                <w:b/>
              </w:rPr>
            </w:pPr>
            <w:r w:rsidRPr="007A7910">
              <w:rPr>
                <w:rFonts w:eastAsia="Calibri"/>
                <w:b/>
              </w:rPr>
              <w:t>Предельное значение</w:t>
            </w:r>
          </w:p>
        </w:tc>
        <w:tc>
          <w:tcPr>
            <w:tcW w:w="992" w:type="dxa"/>
            <w:shd w:val="clear" w:color="auto" w:fill="auto"/>
            <w:vAlign w:val="center"/>
          </w:tcPr>
          <w:p w:rsidR="00CF4DAD" w:rsidRPr="005A1106" w:rsidRDefault="00CF4DAD" w:rsidP="00CF4DAD">
            <w:pPr>
              <w:spacing w:after="0" w:line="240" w:lineRule="auto"/>
              <w:contextualSpacing/>
              <w:jc w:val="center"/>
              <w:rPr>
                <w:rFonts w:eastAsia="Calibri"/>
                <w:b/>
              </w:rPr>
            </w:pPr>
            <w:r w:rsidRPr="005A1106">
              <w:rPr>
                <w:rFonts w:eastAsia="Calibri"/>
                <w:b/>
              </w:rPr>
              <w:t>Фактическое значение за 2023 год</w:t>
            </w:r>
            <w:r w:rsidRPr="005A1106">
              <w:rPr>
                <w:rStyle w:val="af7"/>
                <w:rFonts w:eastAsia="Calibri"/>
                <w:b/>
              </w:rPr>
              <w:footnoteReference w:id="2"/>
            </w:r>
          </w:p>
        </w:tc>
        <w:tc>
          <w:tcPr>
            <w:tcW w:w="1134" w:type="dxa"/>
            <w:shd w:val="clear" w:color="auto" w:fill="auto"/>
            <w:vAlign w:val="center"/>
          </w:tcPr>
          <w:p w:rsidR="00CF4DAD" w:rsidRPr="005A1106" w:rsidRDefault="00CF4DAD" w:rsidP="00CF4DAD">
            <w:pPr>
              <w:spacing w:after="0" w:line="240" w:lineRule="auto"/>
              <w:contextualSpacing/>
              <w:jc w:val="center"/>
              <w:rPr>
                <w:rFonts w:eastAsia="Calibri"/>
                <w:b/>
              </w:rPr>
            </w:pPr>
            <w:r w:rsidRPr="005A1106">
              <w:rPr>
                <w:rFonts w:eastAsia="Calibri"/>
                <w:b/>
              </w:rPr>
              <w:t>Оценка достижения/ причины отклонения</w:t>
            </w:r>
          </w:p>
        </w:tc>
        <w:tc>
          <w:tcPr>
            <w:tcW w:w="851" w:type="dxa"/>
            <w:shd w:val="clear" w:color="auto" w:fill="auto"/>
            <w:vAlign w:val="center"/>
          </w:tcPr>
          <w:p w:rsidR="00CF4DAD" w:rsidRPr="005A1106" w:rsidRDefault="00CF4DAD" w:rsidP="00CF4DAD">
            <w:pPr>
              <w:spacing w:after="0" w:line="240" w:lineRule="auto"/>
              <w:contextualSpacing/>
              <w:jc w:val="center"/>
              <w:rPr>
                <w:rFonts w:eastAsia="Calibri"/>
                <w:b/>
              </w:rPr>
            </w:pPr>
            <w:r w:rsidRPr="005A1106">
              <w:rPr>
                <w:rFonts w:eastAsia="Calibri"/>
                <w:b/>
              </w:rPr>
              <w:t>Процент достижения, %</w:t>
            </w:r>
          </w:p>
        </w:tc>
        <w:tc>
          <w:tcPr>
            <w:tcW w:w="992" w:type="dxa"/>
          </w:tcPr>
          <w:p w:rsidR="00CF4DAD" w:rsidRPr="007A7910" w:rsidRDefault="00CF4DAD" w:rsidP="00CF4DAD">
            <w:pPr>
              <w:spacing w:after="0" w:line="240" w:lineRule="auto"/>
              <w:contextualSpacing/>
              <w:jc w:val="center"/>
              <w:rPr>
                <w:rFonts w:eastAsia="Calibri"/>
                <w:b/>
              </w:rPr>
            </w:pPr>
            <w:r w:rsidRPr="007A7910">
              <w:rPr>
                <w:rFonts w:eastAsia="Calibri"/>
                <w:b/>
              </w:rPr>
              <w:t>Целевое значение на 2024 год</w:t>
            </w:r>
          </w:p>
        </w:tc>
        <w:tc>
          <w:tcPr>
            <w:tcW w:w="992" w:type="dxa"/>
          </w:tcPr>
          <w:p w:rsidR="00CF4DAD" w:rsidRPr="007A7910" w:rsidRDefault="00CF4DAD" w:rsidP="00CF4DAD">
            <w:pPr>
              <w:spacing w:after="0" w:line="240" w:lineRule="auto"/>
              <w:contextualSpacing/>
              <w:jc w:val="center"/>
              <w:rPr>
                <w:rFonts w:eastAsia="Calibri"/>
                <w:b/>
              </w:rPr>
            </w:pPr>
            <w:r w:rsidRPr="007A7910">
              <w:rPr>
                <w:rFonts w:eastAsia="Calibri"/>
                <w:b/>
              </w:rPr>
              <w:t>Целевое значение на 2025 год</w:t>
            </w:r>
          </w:p>
        </w:tc>
      </w:tr>
      <w:tr w:rsidR="00CF4DAD" w:rsidRPr="00D355DE" w:rsidTr="00CF4DAD">
        <w:trPr>
          <w:trHeight w:val="274"/>
        </w:trPr>
        <w:tc>
          <w:tcPr>
            <w:tcW w:w="15559" w:type="dxa"/>
            <w:gridSpan w:val="13"/>
          </w:tcPr>
          <w:p w:rsidR="00CF4DAD" w:rsidRDefault="00CF4DAD" w:rsidP="00CF4DAD">
            <w:pPr>
              <w:spacing w:after="0" w:line="240" w:lineRule="auto"/>
              <w:contextualSpacing/>
              <w:jc w:val="center"/>
              <w:rPr>
                <w:rFonts w:eastAsia="Calibri"/>
                <w:b/>
                <w:color w:val="0070C0"/>
              </w:rPr>
            </w:pPr>
          </w:p>
          <w:p w:rsidR="00CF4DAD" w:rsidRDefault="00CF4DAD" w:rsidP="00CF4DAD">
            <w:pPr>
              <w:spacing w:after="0" w:line="240" w:lineRule="auto"/>
              <w:contextualSpacing/>
              <w:jc w:val="center"/>
              <w:rPr>
                <w:rFonts w:eastAsia="Calibri"/>
                <w:b/>
                <w:color w:val="0070C0"/>
              </w:rPr>
            </w:pPr>
            <w:r w:rsidRPr="00D355DE">
              <w:rPr>
                <w:rFonts w:eastAsia="Calibri"/>
                <w:b/>
                <w:color w:val="0070C0"/>
              </w:rPr>
              <w:t>ФИНАНСОВО-ЭКОНОМИЧЕСКИЕ КЛЮЧЕВЫЕ ПОКАЗАТЕЛИ ЭФФЕКТИВНОСТИ</w:t>
            </w:r>
          </w:p>
          <w:p w:rsidR="00CF4DAD" w:rsidRPr="00D355DE" w:rsidRDefault="00CF4DAD" w:rsidP="00CF4DAD">
            <w:pPr>
              <w:spacing w:after="0" w:line="240" w:lineRule="auto"/>
              <w:contextualSpacing/>
              <w:jc w:val="center"/>
              <w:rPr>
                <w:rFonts w:eastAsia="Calibri"/>
                <w:b/>
                <w:color w:val="0070C0"/>
              </w:rPr>
            </w:pP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ROIC</w:t>
            </w:r>
          </w:p>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(Рентабельность инвестированного капитала)</w:t>
            </w:r>
            <w:r w:rsidRPr="00AD513B">
              <w:rPr>
                <w:rStyle w:val="af7"/>
                <w:rFonts w:eastAsia="Calibri"/>
                <w:sz w:val="18"/>
                <w:szCs w:val="18"/>
              </w:rPr>
              <w:footnoteReference w:id="3"/>
            </w:r>
          </w:p>
        </w:tc>
        <w:tc>
          <w:tcPr>
            <w:tcW w:w="2835" w:type="dxa"/>
          </w:tcPr>
          <w:p w:rsidR="00CF4DAD" w:rsidRPr="005A1106" w:rsidRDefault="00CF4DAD" w:rsidP="00CF4DAD">
            <w:pPr>
              <w:spacing w:after="0" w:line="240" w:lineRule="auto"/>
              <w:contextualSpacing/>
              <w:jc w:val="both"/>
              <w:rPr>
                <w:rFonts w:eastAsia="Calibri"/>
                <w:sz w:val="18"/>
                <w:szCs w:val="18"/>
              </w:rPr>
            </w:pPr>
            <w:r w:rsidRPr="005A1106">
              <w:rPr>
                <w:rFonts w:eastAsiaTheme="minorEastAsia"/>
                <w:sz w:val="18"/>
                <w:szCs w:val="18"/>
              </w:rPr>
              <w:t>Отношение операционной прибыли, скорректированной на размер обесценения/(восстановления обесценения) основных средств, выручки от оказания услуг по технологическому присоединению и начисления/(восстановление) резерва под ожидаемые кредитные убытки, к сумме средних величин капитала и долгосрочных кредитов и займов</w:t>
            </w: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10</w:t>
            </w:r>
          </w:p>
        </w:tc>
        <w:tc>
          <w:tcPr>
            <w:tcW w:w="567" w:type="dxa"/>
            <w:vAlign w:val="center"/>
          </w:tcPr>
          <w:p w:rsidR="00CF4DAD" w:rsidRPr="00601FF9" w:rsidRDefault="00CF4DAD" w:rsidP="00CF4DAD">
            <w:pPr>
              <w:spacing w:after="0" w:line="240" w:lineRule="auto"/>
              <w:ind w:right="19"/>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ind w:hanging="53"/>
              <w:jc w:val="center"/>
              <w:rPr>
                <w:rFonts w:eastAsia="Calibri"/>
                <w:sz w:val="16"/>
                <w:szCs w:val="16"/>
              </w:rPr>
            </w:pPr>
            <w:r w:rsidRPr="005A1106">
              <w:rPr>
                <w:rFonts w:eastAsia="Calibri"/>
                <w:sz w:val="16"/>
                <w:szCs w:val="16"/>
              </w:rPr>
              <w:t>-157 433 тыс. руб.</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-188 919</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-125 946</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8863DA">
              <w:rPr>
                <w:rFonts w:eastAsia="Calibri"/>
                <w:sz w:val="16"/>
                <w:szCs w:val="16"/>
              </w:rPr>
              <w:t>- 840 222</w:t>
            </w:r>
          </w:p>
        </w:tc>
        <w:tc>
          <w:tcPr>
            <w:tcW w:w="1134" w:type="dxa"/>
            <w:vAlign w:val="center"/>
          </w:tcPr>
          <w:p w:rsidR="00CF4DAD" w:rsidRDefault="00CF4DAD" w:rsidP="00CF4DAD">
            <w:pPr>
              <w:spacing w:after="0" w:line="240" w:lineRule="auto"/>
              <w:contextualSpacing/>
              <w:jc w:val="center"/>
              <w:rPr>
                <w:rFonts w:eastAsia="Calibri"/>
                <w:sz w:val="16"/>
                <w:szCs w:val="16"/>
              </w:rPr>
            </w:pPr>
            <w:r>
              <w:rPr>
                <w:rFonts w:eastAsia="Calibri"/>
                <w:sz w:val="16"/>
                <w:szCs w:val="16"/>
              </w:rPr>
              <w:t>Не выполнен</w:t>
            </w:r>
          </w:p>
          <w:p w:rsidR="005959D4" w:rsidRPr="005A1106" w:rsidRDefault="005959D4" w:rsidP="00CF4DAD">
            <w:pPr>
              <w:spacing w:after="0" w:line="240" w:lineRule="auto"/>
              <w:contextualSpacing/>
              <w:jc w:val="center"/>
              <w:rPr>
                <w:rFonts w:eastAsia="Calibri"/>
                <w:sz w:val="16"/>
                <w:szCs w:val="16"/>
              </w:rPr>
            </w:pPr>
            <w:r w:rsidRPr="005959D4">
              <w:rPr>
                <w:rFonts w:eastAsia="Calibri"/>
                <w:sz w:val="16"/>
                <w:szCs w:val="16"/>
              </w:rPr>
              <w:t>Невыполнение главным образом обусловлено ростом доходов в виде сумм восстановленного резерва по сомнительным долгам</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Pr>
                <w:rFonts w:eastAsia="Calibri"/>
                <w:sz w:val="16"/>
                <w:szCs w:val="16"/>
              </w:rPr>
              <w:t>18,76</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2,0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7,5</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Рентабельность операционной деятельности</w:t>
            </w:r>
            <w:r w:rsidRPr="00AD513B">
              <w:rPr>
                <w:rStyle w:val="af7"/>
                <w:rFonts w:eastAsia="Calibri"/>
                <w:sz w:val="18"/>
                <w:szCs w:val="18"/>
              </w:rPr>
              <w:footnoteReference w:id="4"/>
            </w:r>
          </w:p>
        </w:tc>
        <w:tc>
          <w:tcPr>
            <w:tcW w:w="2835" w:type="dxa"/>
          </w:tcPr>
          <w:p w:rsidR="00CF4DAD" w:rsidRDefault="00CF4DAD" w:rsidP="00CF4DAD">
            <w:pPr>
              <w:spacing w:after="0" w:line="240" w:lineRule="auto"/>
              <w:contextualSpacing/>
              <w:jc w:val="both"/>
              <w:rPr>
                <w:rFonts w:eastAsiaTheme="minorEastAsia"/>
                <w:sz w:val="18"/>
                <w:szCs w:val="18"/>
              </w:rPr>
            </w:pPr>
            <w:r w:rsidRPr="005A1106">
              <w:rPr>
                <w:rFonts w:eastAsiaTheme="minorEastAsia"/>
                <w:sz w:val="18"/>
                <w:szCs w:val="18"/>
              </w:rPr>
              <w:t>Отношение операционной прибыли, скорректированной на размер обесценения/(восстановления обесценения) основных средств и выручки от оказания услуг по технологическому присоединению, к выручке без учета выручки от оказания услуг по технологическому присоединению</w:t>
            </w:r>
          </w:p>
          <w:p w:rsidR="00CF4DAD" w:rsidRDefault="00CF4DAD" w:rsidP="00CF4DAD">
            <w:pPr>
              <w:spacing w:after="0" w:line="240" w:lineRule="auto"/>
              <w:contextualSpacing/>
              <w:jc w:val="both"/>
              <w:rPr>
                <w:rFonts w:eastAsia="Calibri"/>
                <w:sz w:val="18"/>
                <w:szCs w:val="18"/>
              </w:rPr>
            </w:pPr>
          </w:p>
          <w:p w:rsidR="00CF4DAD" w:rsidRPr="005A1106" w:rsidRDefault="00CF4DAD" w:rsidP="00CF4DAD">
            <w:pPr>
              <w:spacing w:after="0" w:line="240" w:lineRule="auto"/>
              <w:contextualSpacing/>
              <w:jc w:val="both"/>
              <w:rPr>
                <w:rFonts w:eastAsia="Calibri"/>
                <w:sz w:val="18"/>
                <w:szCs w:val="18"/>
              </w:rPr>
            </w:pP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20</w:t>
            </w: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-12,8</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-15,4</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-10,3</w:t>
            </w:r>
          </w:p>
        </w:tc>
        <w:tc>
          <w:tcPr>
            <w:tcW w:w="992" w:type="dxa"/>
            <w:vAlign w:val="center"/>
          </w:tcPr>
          <w:p w:rsidR="00CF4DAD" w:rsidRPr="005A1106" w:rsidRDefault="00CF4DAD" w:rsidP="00CF4DAD">
            <w:pPr>
              <w:spacing w:after="0" w:line="240" w:lineRule="auto"/>
              <w:jc w:val="center"/>
              <w:rPr>
                <w:rFonts w:eastAsia="Calibri"/>
                <w:sz w:val="16"/>
                <w:szCs w:val="16"/>
                <w:lang w:val="en-US"/>
              </w:rPr>
            </w:pPr>
            <w:r w:rsidRPr="005A1106">
              <w:rPr>
                <w:rFonts w:eastAsia="Calibri"/>
                <w:sz w:val="16"/>
                <w:szCs w:val="16"/>
                <w:lang w:val="en-US"/>
              </w:rPr>
              <w:t>-10</w:t>
            </w:r>
            <w:r w:rsidRPr="005A1106">
              <w:rPr>
                <w:rFonts w:eastAsia="Calibri"/>
                <w:sz w:val="16"/>
                <w:szCs w:val="16"/>
              </w:rPr>
              <w:t>,</w:t>
            </w:r>
            <w:r w:rsidRPr="005A1106">
              <w:rPr>
                <w:rFonts w:eastAsia="Calibri"/>
                <w:sz w:val="16"/>
                <w:szCs w:val="16"/>
                <w:lang w:val="en-US"/>
              </w:rPr>
              <w:t>7</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116,4</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-5,9</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1,7</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lastRenderedPageBreak/>
              <w:t>Чистая прибыль без обесценения и ТП</w:t>
            </w:r>
            <w:r w:rsidRPr="00AD513B">
              <w:rPr>
                <w:rStyle w:val="af7"/>
                <w:rFonts w:eastAsia="Calibri"/>
                <w:sz w:val="18"/>
                <w:szCs w:val="18"/>
              </w:rPr>
              <w:footnoteReference w:id="5"/>
            </w:r>
          </w:p>
        </w:tc>
        <w:tc>
          <w:tcPr>
            <w:tcW w:w="2835" w:type="dxa"/>
          </w:tcPr>
          <w:p w:rsidR="00CF4DAD" w:rsidRPr="005A1106" w:rsidRDefault="00CF4DAD" w:rsidP="00CF4DAD">
            <w:pPr>
              <w:spacing w:after="0" w:line="240" w:lineRule="auto"/>
              <w:contextualSpacing/>
              <w:jc w:val="both"/>
              <w:rPr>
                <w:rFonts w:eastAsia="Calibri"/>
                <w:sz w:val="18"/>
                <w:szCs w:val="18"/>
              </w:rPr>
            </w:pPr>
            <w:r w:rsidRPr="005A1106">
              <w:rPr>
                <w:rFonts w:eastAsiaTheme="minorEastAsia"/>
                <w:sz w:val="18"/>
                <w:szCs w:val="18"/>
              </w:rPr>
              <w:t>Прибыль/(убыток), скорректированная на размер обесценения/(восстановления обесценения) основных средств и выручки от оказания услуг по технологическому присоединению (с учетом соответствующего налога на прибыль)</w:t>
            </w:r>
          </w:p>
        </w:tc>
        <w:tc>
          <w:tcPr>
            <w:tcW w:w="992"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20</w:t>
            </w: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тыс. руб.</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-864 028</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-1 036 833</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-691 222</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-856 804</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100,8</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-518 373</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155 845</w:t>
            </w:r>
          </w:p>
        </w:tc>
      </w:tr>
      <w:tr w:rsidR="00CF4DAD" w:rsidRPr="007A7910" w:rsidTr="00CF4DAD">
        <w:tc>
          <w:tcPr>
            <w:tcW w:w="15559" w:type="dxa"/>
            <w:gridSpan w:val="13"/>
            <w:vAlign w:val="center"/>
          </w:tcPr>
          <w:p w:rsidR="00CF4DAD" w:rsidRDefault="00CF4DAD" w:rsidP="00CF4DAD">
            <w:pPr>
              <w:spacing w:after="0" w:line="240" w:lineRule="auto"/>
              <w:contextualSpacing/>
              <w:jc w:val="center"/>
              <w:rPr>
                <w:rFonts w:eastAsia="Calibri"/>
                <w:b/>
                <w:color w:val="0070C0"/>
                <w:sz w:val="18"/>
                <w:szCs w:val="18"/>
              </w:rPr>
            </w:pPr>
          </w:p>
          <w:p w:rsidR="00CF4DAD" w:rsidRPr="005A1106" w:rsidRDefault="00CF4DAD" w:rsidP="00CF4DAD">
            <w:pPr>
              <w:spacing w:after="0" w:line="240" w:lineRule="auto"/>
              <w:contextualSpacing/>
              <w:jc w:val="center"/>
              <w:rPr>
                <w:rFonts w:eastAsia="Calibri"/>
                <w:b/>
                <w:color w:val="0070C0"/>
                <w:sz w:val="18"/>
                <w:szCs w:val="18"/>
              </w:rPr>
            </w:pPr>
            <w:r w:rsidRPr="005A1106">
              <w:rPr>
                <w:rFonts w:eastAsia="Calibri"/>
                <w:b/>
                <w:color w:val="0070C0"/>
                <w:sz w:val="18"/>
                <w:szCs w:val="18"/>
              </w:rPr>
              <w:t>СПЕЦИАЛИЗИРОВАННЫЕ ОТРАСЛЕВЫЕ КЛЮЧЕВЫЕ ПОКАЗАТЕЛИ ЭФФЕКТИВНОСТИ</w:t>
            </w:r>
          </w:p>
          <w:p w:rsidR="00CF4DAD" w:rsidRPr="005A1106" w:rsidRDefault="00CF4DAD" w:rsidP="00CF4DAD">
            <w:pPr>
              <w:spacing w:after="0" w:line="240" w:lineRule="auto"/>
              <w:contextualSpacing/>
              <w:jc w:val="center"/>
              <w:rPr>
                <w:rFonts w:eastAsia="Calibri"/>
                <w:b/>
                <w:color w:val="0070C0"/>
                <w:sz w:val="18"/>
                <w:szCs w:val="18"/>
              </w:rPr>
            </w:pP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Уровень потерь электроэнергии</w:t>
            </w:r>
          </w:p>
        </w:tc>
        <w:tc>
          <w:tcPr>
            <w:tcW w:w="2835" w:type="dxa"/>
          </w:tcPr>
          <w:p w:rsidR="00CF4DAD" w:rsidRPr="005A1106" w:rsidRDefault="00CF4DAD" w:rsidP="00CF4DAD">
            <w:pPr>
              <w:spacing w:after="0" w:line="240" w:lineRule="auto"/>
              <w:contextualSpacing/>
              <w:jc w:val="both"/>
              <w:rPr>
                <w:rFonts w:eastAsia="Calibri"/>
                <w:sz w:val="18"/>
                <w:szCs w:val="18"/>
              </w:rPr>
            </w:pPr>
            <w:r w:rsidRPr="005A1106">
              <w:rPr>
                <w:sz w:val="18"/>
                <w:szCs w:val="18"/>
              </w:rPr>
              <w:t>Отношение объема потерь электроэнергии в сетях Общества (рассчитывается как разница отпуска электроэнергии в сеть и отпущенной электроэнергии из сети и расхода на хозяйственные нужды), увеличенного на величину разногласий за предшествующие периоды, урегулированную не в пользу Общества, к отпуску электроэнергии в сеть за отчетный период</w:t>
            </w:r>
          </w:p>
        </w:tc>
        <w:tc>
          <w:tcPr>
            <w:tcW w:w="992"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15</w:t>
            </w: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30,65</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не устанавливается</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не устанавливается</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35,26</w:t>
            </w:r>
          </w:p>
        </w:tc>
        <w:tc>
          <w:tcPr>
            <w:tcW w:w="1134" w:type="dxa"/>
            <w:vAlign w:val="center"/>
          </w:tcPr>
          <w:p w:rsidR="00CF4DAD" w:rsidRPr="005A1106" w:rsidRDefault="00CF4DAD" w:rsidP="00CF4DAD">
            <w:pPr>
              <w:spacing w:after="0" w:line="240" w:lineRule="auto"/>
              <w:contextualSpacing/>
              <w:rPr>
                <w:rFonts w:eastAsia="Calibri"/>
                <w:sz w:val="16"/>
                <w:szCs w:val="16"/>
              </w:rPr>
            </w:pPr>
            <w:r w:rsidRPr="005A1106">
              <w:rPr>
                <w:rFonts w:eastAsia="Calibri"/>
                <w:sz w:val="16"/>
                <w:szCs w:val="16"/>
              </w:rPr>
              <w:t>Не исполнен</w:t>
            </w:r>
          </w:p>
          <w:p w:rsidR="00CF4DAD" w:rsidRPr="005A1106" w:rsidRDefault="00CF4DAD" w:rsidP="00CF4DAD">
            <w:pPr>
              <w:spacing w:after="0" w:line="240" w:lineRule="auto"/>
              <w:contextualSpacing/>
              <w:rPr>
                <w:rFonts w:eastAsia="Calibri"/>
                <w:sz w:val="16"/>
                <w:szCs w:val="16"/>
              </w:rPr>
            </w:pPr>
            <w:r w:rsidRPr="005A1106">
              <w:rPr>
                <w:rFonts w:eastAsia="Calibri"/>
                <w:sz w:val="16"/>
                <w:szCs w:val="16"/>
              </w:rPr>
              <w:t>Причины:</w:t>
            </w:r>
          </w:p>
          <w:p w:rsidR="00CF4DAD" w:rsidRPr="005A1106" w:rsidRDefault="00CF4DAD" w:rsidP="00CF4DAD">
            <w:pPr>
              <w:spacing w:after="0" w:line="240" w:lineRule="auto"/>
              <w:contextualSpacing/>
              <w:rPr>
                <w:rFonts w:eastAsia="Calibri"/>
                <w:sz w:val="16"/>
                <w:szCs w:val="16"/>
              </w:rPr>
            </w:pPr>
            <w:r w:rsidRPr="005A1106">
              <w:rPr>
                <w:rFonts w:eastAsia="Calibri"/>
                <w:sz w:val="16"/>
                <w:szCs w:val="16"/>
              </w:rPr>
              <w:t>- рост нагрузочных потерь электроэнергии;</w:t>
            </w:r>
          </w:p>
          <w:p w:rsidR="00CF4DAD" w:rsidRPr="005A1106" w:rsidRDefault="00CF4DAD" w:rsidP="00CF4DAD">
            <w:pPr>
              <w:spacing w:after="0" w:line="240" w:lineRule="auto"/>
              <w:contextualSpacing/>
              <w:rPr>
                <w:rFonts w:eastAsia="Calibri"/>
                <w:sz w:val="16"/>
                <w:szCs w:val="16"/>
              </w:rPr>
            </w:pPr>
            <w:r w:rsidRPr="005A1106">
              <w:rPr>
                <w:rFonts w:eastAsia="Calibri"/>
                <w:sz w:val="16"/>
                <w:szCs w:val="16"/>
              </w:rPr>
              <w:t xml:space="preserve">- смещение сроков реализации технических мероприятий ПСП; </w:t>
            </w:r>
          </w:p>
          <w:p w:rsidR="00CF4DAD" w:rsidRPr="005A1106" w:rsidRDefault="00CF4DAD" w:rsidP="00CF4DAD">
            <w:pPr>
              <w:spacing w:after="0" w:line="240" w:lineRule="auto"/>
              <w:contextualSpacing/>
              <w:rPr>
                <w:rFonts w:eastAsia="Calibri"/>
                <w:sz w:val="16"/>
                <w:szCs w:val="16"/>
              </w:rPr>
            </w:pPr>
            <w:r w:rsidRPr="005A1106">
              <w:rPr>
                <w:rFonts w:eastAsia="Calibri"/>
                <w:sz w:val="16"/>
                <w:szCs w:val="16"/>
              </w:rPr>
              <w:t xml:space="preserve">- высокий уровень неучтенного потребления.   </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35,26</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27,65</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24,42</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Готовность к работе в отопительный сезон</w:t>
            </w:r>
          </w:p>
        </w:tc>
        <w:tc>
          <w:tcPr>
            <w:tcW w:w="2835" w:type="dxa"/>
          </w:tcPr>
          <w:p w:rsidR="00CF4DAD" w:rsidRDefault="00CF4DAD" w:rsidP="00CF4DAD">
            <w:pPr>
              <w:spacing w:after="0" w:line="240" w:lineRule="auto"/>
              <w:contextualSpacing/>
              <w:jc w:val="both"/>
              <w:rPr>
                <w:rFonts w:eastAsiaTheme="minorEastAsia"/>
                <w:sz w:val="18"/>
                <w:szCs w:val="18"/>
              </w:rPr>
            </w:pPr>
            <w:r w:rsidRPr="005A1106">
              <w:rPr>
                <w:rFonts w:eastAsiaTheme="minorEastAsia"/>
                <w:sz w:val="18"/>
                <w:szCs w:val="18"/>
              </w:rPr>
              <w:t>Показатель, оценивающий готовность Общества к работе в отопительный сезон на основании ежемесячного мониторинга, проводимого Минэнерго России</w:t>
            </w:r>
          </w:p>
          <w:p w:rsidR="00CF4DAD" w:rsidRPr="005A1106" w:rsidRDefault="00CF4DAD" w:rsidP="00CF4DAD">
            <w:pPr>
              <w:spacing w:after="0" w:line="240" w:lineRule="auto"/>
              <w:contextualSpacing/>
              <w:jc w:val="both"/>
              <w:rPr>
                <w:rFonts w:eastAsia="Calibri"/>
                <w:sz w:val="18"/>
                <w:szCs w:val="18"/>
              </w:rPr>
            </w:pP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lastRenderedPageBreak/>
              <w:t>20</w:t>
            </w: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шт.</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0,96</w:t>
            </w:r>
          </w:p>
        </w:tc>
        <w:tc>
          <w:tcPr>
            <w:tcW w:w="1134" w:type="dxa"/>
            <w:vAlign w:val="center"/>
          </w:tcPr>
          <w:p w:rsidR="00CF4DAD" w:rsidRPr="005A1106" w:rsidRDefault="00CF4DAD" w:rsidP="00CF4DAD">
            <w:pPr>
              <w:spacing w:after="0" w:line="240" w:lineRule="auto"/>
              <w:jc w:val="center"/>
              <w:rPr>
                <w:sz w:val="16"/>
                <w:szCs w:val="16"/>
              </w:rPr>
            </w:pPr>
            <w:r w:rsidRPr="005A1106">
              <w:rPr>
                <w:sz w:val="16"/>
                <w:szCs w:val="16"/>
              </w:rPr>
              <w:t xml:space="preserve">Субъект электроэнергетики с уровнем </w:t>
            </w:r>
            <w:r w:rsidRPr="005A1106">
              <w:rPr>
                <w:sz w:val="16"/>
                <w:szCs w:val="16"/>
              </w:rPr>
              <w:lastRenderedPageBreak/>
              <w:t>готовности «Готов»</w:t>
            </w:r>
          </w:p>
        </w:tc>
        <w:tc>
          <w:tcPr>
            <w:tcW w:w="851" w:type="dxa"/>
            <w:vAlign w:val="center"/>
          </w:tcPr>
          <w:p w:rsidR="00CF4DAD" w:rsidRPr="005A1106" w:rsidRDefault="00CF4DAD" w:rsidP="00CF4DAD">
            <w:pPr>
              <w:spacing w:after="0" w:line="240" w:lineRule="auto"/>
              <w:jc w:val="center"/>
              <w:rPr>
                <w:sz w:val="16"/>
                <w:szCs w:val="16"/>
              </w:rPr>
            </w:pPr>
            <w:r w:rsidRPr="005A1106">
              <w:rPr>
                <w:sz w:val="16"/>
                <w:szCs w:val="16"/>
              </w:rPr>
              <w:lastRenderedPageBreak/>
              <w:t>96%</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Выполнение графика ввода объектов в эксплуатацию</w:t>
            </w:r>
          </w:p>
        </w:tc>
        <w:tc>
          <w:tcPr>
            <w:tcW w:w="2835" w:type="dxa"/>
          </w:tcPr>
          <w:p w:rsidR="00CF4DAD" w:rsidRPr="005A1106" w:rsidRDefault="00CF4DAD" w:rsidP="00CF4DAD">
            <w:pPr>
              <w:spacing w:after="0" w:line="240" w:lineRule="auto"/>
              <w:contextualSpacing/>
              <w:jc w:val="both"/>
              <w:rPr>
                <w:rFonts w:eastAsia="Calibri"/>
                <w:sz w:val="18"/>
                <w:szCs w:val="18"/>
              </w:rPr>
            </w:pPr>
            <w:r w:rsidRPr="005A1106">
              <w:rPr>
                <w:rFonts w:eastAsiaTheme="minorEastAsia"/>
                <w:sz w:val="18"/>
                <w:szCs w:val="18"/>
              </w:rPr>
              <w:t>Отношение суммарного фактического объема вводов основных средств в эксплуатацию в отчетном году, определяемый на основании отчета об исполнении инвестиционной программы Общества (в денежном выражении, на основании даты подписания Акта приемки законченного строительством объекта приемочной комиссией) к плановому в соответствии с утвержденной инвестиционной программой и графиком реализации</w:t>
            </w: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15</w:t>
            </w: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bCs/>
                <w:sz w:val="16"/>
                <w:szCs w:val="16"/>
              </w:rPr>
            </w:pPr>
            <w:r w:rsidRPr="005A1106">
              <w:rPr>
                <w:rFonts w:eastAsia="Calibri"/>
                <w:sz w:val="16"/>
                <w:szCs w:val="16"/>
              </w:rPr>
              <w:t>92,0</w:t>
            </w:r>
          </w:p>
        </w:tc>
        <w:tc>
          <w:tcPr>
            <w:tcW w:w="1134" w:type="dxa"/>
            <w:vAlign w:val="center"/>
          </w:tcPr>
          <w:p w:rsidR="00CF4DAD" w:rsidRPr="005A1106" w:rsidRDefault="00CF4DAD" w:rsidP="00CF4DAD">
            <w:pPr>
              <w:spacing w:after="0" w:line="240" w:lineRule="auto"/>
              <w:jc w:val="center"/>
              <w:rPr>
                <w:bCs/>
                <w:sz w:val="16"/>
                <w:szCs w:val="16"/>
              </w:rPr>
            </w:pPr>
            <w:r w:rsidRPr="005A1106">
              <w:rPr>
                <w:rFonts w:eastAsia="Calibri"/>
                <w:sz w:val="16"/>
                <w:szCs w:val="16"/>
              </w:rPr>
              <w:t>73,6</w:t>
            </w:r>
          </w:p>
        </w:tc>
        <w:tc>
          <w:tcPr>
            <w:tcW w:w="1134" w:type="dxa"/>
            <w:vAlign w:val="center"/>
          </w:tcPr>
          <w:p w:rsidR="00CF4DAD" w:rsidRPr="005A1106" w:rsidRDefault="00CF4DAD" w:rsidP="00CF4DAD">
            <w:pPr>
              <w:spacing w:after="0" w:line="240" w:lineRule="auto"/>
              <w:jc w:val="center"/>
              <w:rPr>
                <w:bCs/>
                <w:sz w:val="16"/>
                <w:szCs w:val="16"/>
              </w:rPr>
            </w:pPr>
            <w:r w:rsidRPr="005A1106">
              <w:rPr>
                <w:rFonts w:eastAsia="Calibri"/>
                <w:sz w:val="16"/>
                <w:szCs w:val="16"/>
              </w:rPr>
              <w:t>110,4</w:t>
            </w:r>
          </w:p>
        </w:tc>
        <w:tc>
          <w:tcPr>
            <w:tcW w:w="992" w:type="dxa"/>
            <w:vAlign w:val="center"/>
          </w:tcPr>
          <w:p w:rsidR="00CF4DAD" w:rsidRPr="005A1106" w:rsidRDefault="00CF4DAD" w:rsidP="00CF4DAD">
            <w:pPr>
              <w:spacing w:after="0" w:line="240" w:lineRule="auto"/>
              <w:jc w:val="center"/>
              <w:rPr>
                <w:sz w:val="16"/>
                <w:szCs w:val="16"/>
              </w:rPr>
            </w:pPr>
            <w:r w:rsidRPr="005A1106">
              <w:rPr>
                <w:sz w:val="16"/>
                <w:szCs w:val="16"/>
              </w:rPr>
              <w:t>79,0</w:t>
            </w:r>
          </w:p>
        </w:tc>
        <w:tc>
          <w:tcPr>
            <w:tcW w:w="1134" w:type="dxa"/>
            <w:vAlign w:val="center"/>
          </w:tcPr>
          <w:p w:rsidR="00CF4DAD" w:rsidRDefault="00CF4DAD" w:rsidP="00CF4DAD">
            <w:pPr>
              <w:spacing w:after="0" w:line="240" w:lineRule="auto"/>
              <w:jc w:val="center"/>
              <w:rPr>
                <w:sz w:val="16"/>
                <w:szCs w:val="16"/>
              </w:rPr>
            </w:pPr>
            <w:r w:rsidRPr="005A1106">
              <w:rPr>
                <w:sz w:val="16"/>
                <w:szCs w:val="16"/>
              </w:rPr>
              <w:t>Не достигнут/ перенос торгово-закупочных процедур в связи со значительным увеличением сметной стоимости по итогам выхода проектно-сметной документации по титулу "Реконструкция ВЛ-10кВ Ф-9 ПС 110 "Курчалой" с. Цацан-Юрт, протяженностью 15 км"</w:t>
            </w:r>
          </w:p>
          <w:p w:rsidR="00CF4DAD" w:rsidRPr="005A1106" w:rsidRDefault="00CF4DAD" w:rsidP="00CF4DAD">
            <w:pPr>
              <w:spacing w:after="0" w:line="240" w:lineRule="auto"/>
              <w:jc w:val="center"/>
              <w:rPr>
                <w:sz w:val="16"/>
                <w:szCs w:val="16"/>
              </w:rPr>
            </w:pPr>
          </w:p>
        </w:tc>
        <w:tc>
          <w:tcPr>
            <w:tcW w:w="851" w:type="dxa"/>
            <w:vAlign w:val="center"/>
          </w:tcPr>
          <w:p w:rsidR="00CF4DAD" w:rsidRPr="005A1106" w:rsidRDefault="00CF4DAD" w:rsidP="00CF4DAD">
            <w:pPr>
              <w:spacing w:after="0" w:line="240" w:lineRule="auto"/>
              <w:jc w:val="center"/>
              <w:rPr>
                <w:sz w:val="16"/>
                <w:szCs w:val="16"/>
              </w:rPr>
            </w:pPr>
            <w:r w:rsidRPr="005A1106">
              <w:rPr>
                <w:sz w:val="16"/>
                <w:szCs w:val="16"/>
              </w:rPr>
              <w:t>85,9</w:t>
            </w:r>
          </w:p>
        </w:tc>
        <w:tc>
          <w:tcPr>
            <w:tcW w:w="992" w:type="dxa"/>
            <w:vAlign w:val="center"/>
          </w:tcPr>
          <w:p w:rsidR="00CF4DAD" w:rsidRPr="005A1106" w:rsidRDefault="00CF4DAD" w:rsidP="00CF4DAD">
            <w:pPr>
              <w:spacing w:after="0" w:line="240" w:lineRule="auto"/>
              <w:jc w:val="center"/>
              <w:rPr>
                <w:bCs/>
                <w:sz w:val="16"/>
                <w:szCs w:val="16"/>
              </w:rPr>
            </w:pPr>
            <w:r w:rsidRPr="005A1106">
              <w:rPr>
                <w:rFonts w:eastAsia="Calibri"/>
                <w:sz w:val="16"/>
                <w:szCs w:val="16"/>
              </w:rPr>
              <w:t>93,5</w:t>
            </w:r>
          </w:p>
        </w:tc>
        <w:tc>
          <w:tcPr>
            <w:tcW w:w="992" w:type="dxa"/>
            <w:vAlign w:val="center"/>
          </w:tcPr>
          <w:p w:rsidR="00CF4DAD" w:rsidRPr="005A1106" w:rsidRDefault="00CF4DAD" w:rsidP="00CF4DAD">
            <w:pPr>
              <w:spacing w:after="0" w:line="240" w:lineRule="auto"/>
              <w:jc w:val="center"/>
              <w:rPr>
                <w:bCs/>
                <w:sz w:val="16"/>
                <w:szCs w:val="16"/>
              </w:rPr>
            </w:pPr>
            <w:r w:rsidRPr="005A1106">
              <w:rPr>
                <w:rFonts w:eastAsia="Calibri"/>
                <w:sz w:val="16"/>
                <w:szCs w:val="16"/>
              </w:rPr>
              <w:t>95,0</w:t>
            </w:r>
          </w:p>
        </w:tc>
      </w:tr>
      <w:tr w:rsidR="00CF4DAD" w:rsidRPr="007A7910" w:rsidTr="00CF4DAD">
        <w:trPr>
          <w:trHeight w:val="274"/>
        </w:trPr>
        <w:tc>
          <w:tcPr>
            <w:tcW w:w="15559" w:type="dxa"/>
            <w:gridSpan w:val="13"/>
            <w:vAlign w:val="center"/>
          </w:tcPr>
          <w:p w:rsidR="00CF4DAD" w:rsidRDefault="00CF4DAD" w:rsidP="00CF4DAD">
            <w:pPr>
              <w:spacing w:after="0" w:line="240" w:lineRule="auto"/>
              <w:contextualSpacing/>
              <w:jc w:val="center"/>
              <w:rPr>
                <w:rFonts w:eastAsia="Calibri"/>
                <w:b/>
                <w:color w:val="0070C0"/>
              </w:rPr>
            </w:pPr>
          </w:p>
          <w:p w:rsidR="00CF4DAD" w:rsidRDefault="00CF4DAD" w:rsidP="00CF4DAD">
            <w:pPr>
              <w:spacing w:after="0" w:line="240" w:lineRule="auto"/>
              <w:contextualSpacing/>
              <w:jc w:val="center"/>
              <w:rPr>
                <w:rFonts w:eastAsia="Calibri"/>
                <w:b/>
                <w:color w:val="0070C0"/>
              </w:rPr>
            </w:pPr>
            <w:r w:rsidRPr="00601FF9">
              <w:rPr>
                <w:rFonts w:eastAsia="Calibri"/>
                <w:b/>
                <w:color w:val="0070C0"/>
              </w:rPr>
              <w:t>ПОКАЗАТЕЛИ ДЕПРЕМИРОВАНИЯ</w:t>
            </w:r>
          </w:p>
          <w:p w:rsidR="00CF4DAD" w:rsidRPr="00601FF9" w:rsidRDefault="00CF4DAD" w:rsidP="00CF4DAD">
            <w:pPr>
              <w:spacing w:after="0" w:line="240" w:lineRule="auto"/>
              <w:contextualSpacing/>
              <w:jc w:val="center"/>
              <w:rPr>
                <w:rFonts w:eastAsia="Calibri"/>
                <w:b/>
                <w:color w:val="0070C0"/>
              </w:rPr>
            </w:pP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Исполнение Плана развития Общества</w:t>
            </w:r>
          </w:p>
        </w:tc>
        <w:tc>
          <w:tcPr>
            <w:tcW w:w="2835" w:type="dxa"/>
          </w:tcPr>
          <w:p w:rsidR="00CF4DAD" w:rsidRDefault="00CF4DAD" w:rsidP="00CF4DAD">
            <w:pPr>
              <w:spacing w:after="0" w:line="240" w:lineRule="auto"/>
              <w:contextualSpacing/>
              <w:jc w:val="both"/>
              <w:rPr>
                <w:rFonts w:eastAsiaTheme="minorEastAsia"/>
                <w:bCs/>
                <w:sz w:val="18"/>
                <w:szCs w:val="18"/>
              </w:rPr>
            </w:pPr>
            <w:r w:rsidRPr="00AD513B">
              <w:rPr>
                <w:rFonts w:eastAsiaTheme="minorEastAsia"/>
                <w:bCs/>
                <w:sz w:val="18"/>
                <w:szCs w:val="18"/>
              </w:rPr>
              <w:t xml:space="preserve">Показатель депремирования, размер которого определяется расчетным путем в зависимости от количества неисполненных в отчетном периоде мероприятий </w:t>
            </w:r>
            <w:r w:rsidRPr="00AD513B">
              <w:rPr>
                <w:rFonts w:eastAsiaTheme="minorEastAsia"/>
                <w:bCs/>
                <w:sz w:val="18"/>
                <w:szCs w:val="18"/>
              </w:rPr>
              <w:lastRenderedPageBreak/>
              <w:t>Плана развития Общества, утвержденного Советом директоров ПАО «Россети»</w:t>
            </w:r>
          </w:p>
          <w:p w:rsidR="00CF4DAD" w:rsidRPr="00AD513B" w:rsidRDefault="00CF4DAD" w:rsidP="00CF4DAD">
            <w:pPr>
              <w:spacing w:after="0" w:line="240" w:lineRule="auto"/>
              <w:contextualSpacing/>
              <w:jc w:val="both"/>
              <w:rPr>
                <w:rFonts w:eastAsia="Calibri"/>
                <w:sz w:val="18"/>
                <w:szCs w:val="18"/>
              </w:rPr>
            </w:pP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0</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х</w:t>
            </w:r>
          </w:p>
        </w:tc>
        <w:tc>
          <w:tcPr>
            <w:tcW w:w="1134" w:type="dxa"/>
            <w:vAlign w:val="center"/>
          </w:tcPr>
          <w:p w:rsidR="00CF4DAD" w:rsidRPr="005A1106" w:rsidRDefault="00CF4DAD" w:rsidP="00CF4DAD">
            <w:pPr>
              <w:spacing w:after="0" w:line="240" w:lineRule="auto"/>
              <w:jc w:val="center"/>
              <w:rPr>
                <w:rFonts w:eastAsia="Calibri"/>
                <w:sz w:val="16"/>
                <w:szCs w:val="16"/>
              </w:rPr>
            </w:pPr>
          </w:p>
          <w:p w:rsidR="00CF4DAD" w:rsidRPr="005A1106" w:rsidRDefault="00CF4DAD" w:rsidP="00CF4DAD">
            <w:pPr>
              <w:spacing w:after="0" w:line="240" w:lineRule="auto"/>
              <w:jc w:val="center"/>
              <w:rPr>
                <w:rFonts w:eastAsia="Calibri"/>
                <w:sz w:val="16"/>
                <w:szCs w:val="16"/>
              </w:rPr>
            </w:pPr>
            <w:r w:rsidRPr="005A1106">
              <w:rPr>
                <w:rFonts w:eastAsia="Calibri"/>
                <w:sz w:val="16"/>
                <w:szCs w:val="16"/>
              </w:rPr>
              <w:t>0</w:t>
            </w:r>
          </w:p>
          <w:p w:rsidR="00CF4DAD" w:rsidRPr="005A1106" w:rsidRDefault="00CF4DAD" w:rsidP="00CF4DAD">
            <w:pPr>
              <w:spacing w:after="0" w:line="240" w:lineRule="auto"/>
              <w:jc w:val="center"/>
              <w:rPr>
                <w:rFonts w:eastAsia="Calibri"/>
                <w:sz w:val="16"/>
                <w:szCs w:val="16"/>
              </w:rPr>
            </w:pPr>
          </w:p>
        </w:tc>
        <w:tc>
          <w:tcPr>
            <w:tcW w:w="992" w:type="dxa"/>
            <w:vAlign w:val="center"/>
          </w:tcPr>
          <w:p w:rsidR="00CF4DAD" w:rsidRPr="005A1106" w:rsidRDefault="00CF4DAD" w:rsidP="00CF4DAD">
            <w:pPr>
              <w:spacing w:after="0" w:line="240" w:lineRule="auto"/>
              <w:jc w:val="center"/>
              <w:rPr>
                <w:rFonts w:eastAsia="Calibri"/>
                <w:sz w:val="16"/>
                <w:szCs w:val="16"/>
              </w:rPr>
            </w:pPr>
          </w:p>
          <w:p w:rsidR="00CF4DAD" w:rsidRPr="005A1106" w:rsidRDefault="00CF4DAD" w:rsidP="00CF4DAD">
            <w:pPr>
              <w:spacing w:after="0" w:line="240" w:lineRule="auto"/>
              <w:jc w:val="center"/>
              <w:rPr>
                <w:rFonts w:eastAsia="Calibri"/>
                <w:sz w:val="16"/>
                <w:szCs w:val="16"/>
              </w:rPr>
            </w:pPr>
            <w:r w:rsidRPr="005A1106">
              <w:rPr>
                <w:rFonts w:eastAsia="Calibri"/>
                <w:sz w:val="16"/>
                <w:szCs w:val="16"/>
              </w:rPr>
              <w:t xml:space="preserve">0 </w:t>
            </w:r>
          </w:p>
          <w:p w:rsidR="00CF4DAD" w:rsidRPr="005A1106" w:rsidRDefault="00CF4DAD" w:rsidP="00CF4DAD">
            <w:pPr>
              <w:spacing w:after="0" w:line="240" w:lineRule="auto"/>
              <w:jc w:val="center"/>
              <w:rPr>
                <w:rFonts w:eastAsia="Calibri"/>
                <w:sz w:val="16"/>
                <w:szCs w:val="16"/>
              </w:rPr>
            </w:pP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100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0</w:t>
            </w:r>
          </w:p>
        </w:tc>
      </w:tr>
      <w:tr w:rsidR="00CF4DAD" w:rsidRPr="007A7910" w:rsidTr="00CF4DAD">
        <w:tc>
          <w:tcPr>
            <w:tcW w:w="15559" w:type="dxa"/>
            <w:gridSpan w:val="13"/>
          </w:tcPr>
          <w:p w:rsidR="00CF4DAD" w:rsidRDefault="00CF4DAD" w:rsidP="00CF4DAD">
            <w:pPr>
              <w:spacing w:after="0" w:line="240" w:lineRule="auto"/>
              <w:contextualSpacing/>
              <w:jc w:val="center"/>
              <w:rPr>
                <w:rFonts w:eastAsia="Calibri"/>
                <w:b/>
                <w:color w:val="0070C0"/>
              </w:rPr>
            </w:pPr>
            <w:r w:rsidRPr="00601FF9">
              <w:rPr>
                <w:rFonts w:eastAsia="Calibri"/>
                <w:b/>
                <w:color w:val="0070C0"/>
              </w:rPr>
              <w:t>ИНДИКАТИВНЫЕ ПОКАЗАТЕЛИ</w:t>
            </w:r>
          </w:p>
          <w:p w:rsidR="00CF4DAD" w:rsidRPr="00601FF9" w:rsidRDefault="00CF4DAD" w:rsidP="00CF4DAD">
            <w:pPr>
              <w:spacing w:after="0" w:line="240" w:lineRule="auto"/>
              <w:contextualSpacing/>
              <w:jc w:val="center"/>
              <w:rPr>
                <w:rFonts w:eastAsia="Calibri"/>
                <w:b/>
                <w:color w:val="0070C0"/>
              </w:rPr>
            </w:pP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Достижение фактора «Эффективность процедур по подключению электроэнергии» Национального рейтинга состояния инвестиционного климата</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Показатель определяется на основании степени достижения эталонных ориентиров показателей фактора «Эффективность процедур по подключению электроэнергии» Национального рейтинга состояния инвестиционного климата в субъектах Российской Федерации, входящих в зону эксплуатационной ответственности Общества</w:t>
            </w:r>
          </w:p>
        </w:tc>
        <w:tc>
          <w:tcPr>
            <w:tcW w:w="992"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Индикативный показатель</w:t>
            </w: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100</w:t>
            </w:r>
          </w:p>
        </w:tc>
        <w:tc>
          <w:tcPr>
            <w:tcW w:w="1134" w:type="dxa"/>
            <w:vAlign w:val="center"/>
          </w:tcPr>
          <w:p w:rsidR="00CF4DAD" w:rsidRPr="005A1106" w:rsidRDefault="00CF4DAD" w:rsidP="00CF4DAD">
            <w:pPr>
              <w:spacing w:after="0" w:line="240" w:lineRule="auto"/>
              <w:jc w:val="center"/>
              <w:rPr>
                <w:sz w:val="16"/>
                <w:szCs w:val="16"/>
              </w:rPr>
            </w:pPr>
            <w:r w:rsidRPr="005A1106">
              <w:rPr>
                <w:bCs/>
                <w:sz w:val="16"/>
                <w:szCs w:val="16"/>
              </w:rPr>
              <w:t>х</w:t>
            </w:r>
          </w:p>
        </w:tc>
        <w:tc>
          <w:tcPr>
            <w:tcW w:w="1134" w:type="dxa"/>
            <w:vAlign w:val="center"/>
          </w:tcPr>
          <w:p w:rsidR="00CF4DAD" w:rsidRPr="005A1106" w:rsidRDefault="00CF4DAD" w:rsidP="00CF4DAD">
            <w:pPr>
              <w:spacing w:after="0" w:line="240" w:lineRule="auto"/>
              <w:jc w:val="center"/>
              <w:rPr>
                <w:sz w:val="16"/>
                <w:szCs w:val="16"/>
              </w:rPr>
            </w:pPr>
            <w:r w:rsidRPr="005A1106">
              <w:rPr>
                <w:bCs/>
                <w:sz w:val="16"/>
                <w:szCs w:val="16"/>
              </w:rPr>
              <w:t>х</w:t>
            </w:r>
          </w:p>
        </w:tc>
        <w:tc>
          <w:tcPr>
            <w:tcW w:w="992" w:type="dxa"/>
            <w:vAlign w:val="center"/>
          </w:tcPr>
          <w:p w:rsidR="00CF4DAD" w:rsidRPr="005A1106" w:rsidRDefault="00C3046D" w:rsidP="00CF4DAD">
            <w:pPr>
              <w:spacing w:after="0" w:line="240" w:lineRule="auto"/>
              <w:contextualSpacing/>
              <w:jc w:val="center"/>
              <w:rPr>
                <w:rFonts w:eastAsia="Calibri"/>
                <w:sz w:val="16"/>
                <w:szCs w:val="16"/>
              </w:rPr>
            </w:pPr>
            <w:r w:rsidRPr="00C3046D">
              <w:rPr>
                <w:rFonts w:eastAsia="Calibri"/>
                <w:sz w:val="16"/>
                <w:szCs w:val="16"/>
              </w:rPr>
              <w:t>113.1</w:t>
            </w:r>
          </w:p>
        </w:tc>
        <w:tc>
          <w:tcPr>
            <w:tcW w:w="1134" w:type="dxa"/>
            <w:vAlign w:val="center"/>
          </w:tcPr>
          <w:p w:rsidR="00CF4DAD" w:rsidRPr="005A1106" w:rsidRDefault="00C3046D" w:rsidP="00CF4DAD">
            <w:pPr>
              <w:spacing w:after="0" w:line="240" w:lineRule="auto"/>
              <w:contextualSpacing/>
              <w:jc w:val="center"/>
              <w:rPr>
                <w:rFonts w:eastAsia="Calibri"/>
                <w:sz w:val="16"/>
                <w:szCs w:val="16"/>
              </w:rPr>
            </w:pPr>
            <w:r w:rsidRPr="00C3046D">
              <w:rPr>
                <w:rFonts w:eastAsia="Calibri"/>
                <w:sz w:val="16"/>
                <w:szCs w:val="16"/>
              </w:rPr>
              <w:t>Общество указанный показатель выполнило с фактическим значением 113,1 % при плановом 100 %</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100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100</w:t>
            </w:r>
          </w:p>
        </w:tc>
      </w:tr>
      <w:tr w:rsidR="00CF4DAD" w:rsidRPr="007A7910" w:rsidTr="00CF4DAD">
        <w:tc>
          <w:tcPr>
            <w:tcW w:w="15559" w:type="dxa"/>
            <w:gridSpan w:val="13"/>
            <w:vAlign w:val="center"/>
          </w:tcPr>
          <w:p w:rsidR="00CF4DAD" w:rsidRPr="00601FF9" w:rsidRDefault="00CF4DAD" w:rsidP="00CF4DAD">
            <w:pPr>
              <w:spacing w:after="0" w:line="240" w:lineRule="auto"/>
              <w:contextualSpacing/>
              <w:jc w:val="center"/>
              <w:rPr>
                <w:rFonts w:eastAsia="Calibri"/>
                <w:b/>
                <w:color w:val="0070C0"/>
              </w:rPr>
            </w:pPr>
            <w:r w:rsidRPr="00601FF9">
              <w:rPr>
                <w:rFonts w:eastAsia="Calibri"/>
                <w:b/>
                <w:color w:val="0070C0"/>
              </w:rPr>
              <w:t>ФУНКЦИОНАЛЬНЫЕ КЛЮЧЕВЫЕ ПОКАЗАТЕЛИ ЭФФЕКТИВНОСТИ</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EBITDA (Прибыль по операционной деятельности)</w:t>
            </w:r>
          </w:p>
        </w:tc>
        <w:tc>
          <w:tcPr>
            <w:tcW w:w="2835" w:type="dxa"/>
          </w:tcPr>
          <w:p w:rsidR="00CF4DAD" w:rsidRPr="00AD513B" w:rsidRDefault="00CF4DAD" w:rsidP="00CF4DAD">
            <w:pPr>
              <w:spacing w:after="0" w:line="240" w:lineRule="auto"/>
              <w:contextualSpacing/>
              <w:jc w:val="both"/>
              <w:rPr>
                <w:rFonts w:eastAsiaTheme="minorEastAsia"/>
                <w:sz w:val="18"/>
                <w:szCs w:val="18"/>
              </w:rPr>
            </w:pPr>
            <w:r w:rsidRPr="00AD513B">
              <w:rPr>
                <w:rFonts w:eastAsiaTheme="minorEastAsia"/>
                <w:sz w:val="18"/>
                <w:szCs w:val="18"/>
              </w:rPr>
              <w:t>Рассчитывается как прибыль/(убыток) до налогообложения до вычета расходов на амортизацию и процентов к уплате, скорректированная на размер обесценения/(восстановление обесценения) основных средств, и выручки от оказания услуг по технологическому присоединению</w:t>
            </w:r>
          </w:p>
          <w:p w:rsidR="00CF4DAD" w:rsidRPr="00AD513B" w:rsidRDefault="00CF4DAD" w:rsidP="00CF4DAD">
            <w:pPr>
              <w:spacing w:after="0" w:line="240" w:lineRule="auto"/>
              <w:contextualSpacing/>
              <w:jc w:val="both"/>
              <w:rPr>
                <w:rFonts w:eastAsia="Calibri"/>
                <w:sz w:val="18"/>
                <w:szCs w:val="18"/>
              </w:rPr>
            </w:pPr>
          </w:p>
          <w:p w:rsidR="00CF4DAD" w:rsidRPr="00AD513B" w:rsidRDefault="00CF4DAD" w:rsidP="00CF4DAD">
            <w:pPr>
              <w:spacing w:after="0" w:line="240" w:lineRule="auto"/>
              <w:contextualSpacing/>
              <w:jc w:val="both"/>
              <w:rPr>
                <w:rFonts w:eastAsia="Calibri"/>
                <w:sz w:val="18"/>
                <w:szCs w:val="18"/>
              </w:rPr>
            </w:pPr>
          </w:p>
        </w:tc>
        <w:tc>
          <w:tcPr>
            <w:tcW w:w="992"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Заместитель Генерального директора по экономике и финансам – 33,33%</w:t>
            </w: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тыс. руб.</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-709 499</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-780 449</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-780 449</w:t>
            </w:r>
          </w:p>
        </w:tc>
        <w:tc>
          <w:tcPr>
            <w:tcW w:w="992" w:type="dxa"/>
            <w:vAlign w:val="center"/>
          </w:tcPr>
          <w:p w:rsidR="00CF4DAD" w:rsidRPr="005A1106" w:rsidRDefault="00CF4DAD" w:rsidP="00CF4DAD">
            <w:pPr>
              <w:spacing w:after="0" w:line="240" w:lineRule="auto"/>
              <w:jc w:val="center"/>
              <w:rPr>
                <w:rFonts w:eastAsia="Calibri"/>
                <w:sz w:val="16"/>
                <w:szCs w:val="16"/>
              </w:rPr>
            </w:pPr>
          </w:p>
          <w:p w:rsidR="00CF4DAD" w:rsidRPr="005A1106" w:rsidRDefault="00CF4DAD" w:rsidP="00CF4DAD">
            <w:pPr>
              <w:spacing w:after="0" w:line="240" w:lineRule="auto"/>
              <w:jc w:val="center"/>
              <w:rPr>
                <w:rFonts w:eastAsia="Calibri"/>
                <w:sz w:val="16"/>
                <w:szCs w:val="16"/>
              </w:rPr>
            </w:pPr>
            <w:r w:rsidRPr="005A1106">
              <w:rPr>
                <w:rFonts w:eastAsia="Calibri"/>
                <w:sz w:val="16"/>
                <w:szCs w:val="16"/>
              </w:rPr>
              <w:t>-576 511</w:t>
            </w:r>
            <w:r w:rsidRPr="005A1106">
              <w:rPr>
                <w:rFonts w:eastAsia="Calibri"/>
                <w:sz w:val="16"/>
                <w:szCs w:val="16"/>
              </w:rPr>
              <w:tab/>
            </w:r>
            <w:r w:rsidRPr="005A1106">
              <w:rPr>
                <w:rFonts w:eastAsia="Calibri"/>
                <w:sz w:val="16"/>
                <w:szCs w:val="16"/>
              </w:rPr>
              <w:tab/>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118,7</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-212 345</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573 462</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 xml:space="preserve">Получение паспорта </w:t>
            </w:r>
            <w:r w:rsidRPr="00AD513B">
              <w:rPr>
                <w:rFonts w:eastAsia="Calibri"/>
                <w:sz w:val="18"/>
                <w:szCs w:val="18"/>
              </w:rPr>
              <w:lastRenderedPageBreak/>
              <w:t>готовности в отопительный сезон</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lastRenderedPageBreak/>
              <w:t xml:space="preserve">Своевременное получение паспорта готовности к работе в </w:t>
            </w:r>
            <w:r w:rsidRPr="00AD513B">
              <w:rPr>
                <w:rFonts w:eastAsiaTheme="minorEastAsia"/>
                <w:sz w:val="18"/>
                <w:szCs w:val="18"/>
              </w:rPr>
              <w:lastRenderedPageBreak/>
              <w:t>отопительный сезон Обществом должно быть обеспечено в срок до 5 ноября отчетного года в соответствии с Правилами оценки готовности субъектов электроэнергетики к работе в отопительный сезон, утвержденных Постановлением Правительства РФ от 10.05.2017 № 543</w:t>
            </w:r>
          </w:p>
        </w:tc>
        <w:tc>
          <w:tcPr>
            <w:tcW w:w="992"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lastRenderedPageBreak/>
              <w:t>….</w:t>
            </w: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ед.</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0,96</w:t>
            </w:r>
          </w:p>
        </w:tc>
        <w:tc>
          <w:tcPr>
            <w:tcW w:w="1134" w:type="dxa"/>
            <w:vAlign w:val="center"/>
          </w:tcPr>
          <w:p w:rsidR="00CF4DAD" w:rsidRPr="005A1106" w:rsidRDefault="00CF4DAD" w:rsidP="00CF4DAD">
            <w:pPr>
              <w:spacing w:after="0" w:line="240" w:lineRule="auto"/>
              <w:jc w:val="center"/>
              <w:rPr>
                <w:sz w:val="16"/>
                <w:szCs w:val="16"/>
              </w:rPr>
            </w:pPr>
            <w:r w:rsidRPr="005A1106">
              <w:rPr>
                <w:sz w:val="16"/>
                <w:szCs w:val="16"/>
              </w:rPr>
              <w:t>Субъект электроэнерг</w:t>
            </w:r>
            <w:r w:rsidRPr="005A1106">
              <w:rPr>
                <w:sz w:val="16"/>
                <w:szCs w:val="16"/>
              </w:rPr>
              <w:lastRenderedPageBreak/>
              <w:t>етики с уровнем готовности «Готов»</w:t>
            </w:r>
          </w:p>
        </w:tc>
        <w:tc>
          <w:tcPr>
            <w:tcW w:w="851" w:type="dxa"/>
            <w:vAlign w:val="center"/>
          </w:tcPr>
          <w:p w:rsidR="00CF4DAD" w:rsidRPr="005A1106" w:rsidRDefault="00CF4DAD" w:rsidP="00CF4DAD">
            <w:pPr>
              <w:spacing w:after="0" w:line="240" w:lineRule="auto"/>
              <w:jc w:val="center"/>
              <w:rPr>
                <w:sz w:val="16"/>
                <w:szCs w:val="16"/>
              </w:rPr>
            </w:pPr>
            <w:r w:rsidRPr="005A1106">
              <w:rPr>
                <w:sz w:val="16"/>
                <w:szCs w:val="16"/>
              </w:rPr>
              <w:lastRenderedPageBreak/>
              <w:t>96%</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Отсутствие значимых аварий в электрических сетях, расследуемых Ростехнадзором</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При расчете показателя учитываются аварии в электрических сетях Общества, классифицированные комиссией Ростехнадзора по п.4 Правил расследования причин аварий в электроэнергетике (утвержденных Постановлением Правительства РФ от 28.10.2009 № 846)</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вып/не вып</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p>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r w:rsidRPr="005A1106">
              <w:rPr>
                <w:rFonts w:eastAsia="Calibri"/>
                <w:sz w:val="16"/>
                <w:szCs w:val="16"/>
              </w:rPr>
              <w:tab/>
            </w:r>
            <w:r w:rsidRPr="005A1106">
              <w:rPr>
                <w:rFonts w:eastAsia="Calibri"/>
                <w:sz w:val="16"/>
                <w:szCs w:val="16"/>
              </w:rPr>
              <w:tab/>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100</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Эффективность инновационной деятельности</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Интегральный показатель эффективности инновационной деятельности оценивает степень выполнения трех составных показателей: показатель затрат на НИОКР, показатель закупки инновационной продукции, показатель качества разработки (актуализации) ПИР/выполнения ПИР</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98,0</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88,2</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98,0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Не подводится</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Не оценивается в связи с отсутствием утвержденной Программы инновационного развития АО "Чеченэнерго" на 2023 год, а так же мероприятий в программе инновационн</w:t>
            </w:r>
            <w:r w:rsidRPr="005A1106">
              <w:rPr>
                <w:rFonts w:eastAsia="Calibri"/>
                <w:sz w:val="16"/>
                <w:szCs w:val="16"/>
              </w:rPr>
              <w:lastRenderedPageBreak/>
              <w:t xml:space="preserve">ого развития ПАО "Россети", являющейся источником информации для расчета фактического значения инновационного КПЭ. </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lastRenderedPageBreak/>
              <w:t>-</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98,0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98,0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Повышение производительности труда относительно 2022 года</w:t>
            </w:r>
          </w:p>
        </w:tc>
        <w:tc>
          <w:tcPr>
            <w:tcW w:w="2835" w:type="dxa"/>
          </w:tcPr>
          <w:p w:rsidR="00CF4DAD" w:rsidRDefault="00CF4DAD" w:rsidP="00CF4DAD">
            <w:pPr>
              <w:spacing w:after="0" w:line="240" w:lineRule="auto"/>
              <w:contextualSpacing/>
              <w:jc w:val="both"/>
              <w:rPr>
                <w:rFonts w:eastAsiaTheme="minorEastAsia"/>
                <w:sz w:val="18"/>
                <w:szCs w:val="18"/>
              </w:rPr>
            </w:pPr>
            <w:r w:rsidRPr="00AD513B">
              <w:rPr>
                <w:rFonts w:eastAsiaTheme="minorEastAsia"/>
                <w:sz w:val="18"/>
                <w:szCs w:val="18"/>
              </w:rPr>
              <w:t>Отношение добавленной стоимости по всем видам услуг к среднегодовой численности работников. Сравнение с базовым 2022 годом</w:t>
            </w:r>
          </w:p>
          <w:p w:rsidR="00CF4DAD" w:rsidRDefault="00CF4DAD" w:rsidP="00CF4DAD">
            <w:pPr>
              <w:spacing w:after="0" w:line="240" w:lineRule="auto"/>
              <w:contextualSpacing/>
              <w:jc w:val="both"/>
              <w:rPr>
                <w:rFonts w:eastAsiaTheme="minorEastAsia"/>
                <w:sz w:val="18"/>
                <w:szCs w:val="18"/>
              </w:rPr>
            </w:pPr>
          </w:p>
          <w:p w:rsidR="00CF4DAD" w:rsidRDefault="00CF4DAD" w:rsidP="00CF4DAD">
            <w:pPr>
              <w:spacing w:after="0" w:line="240" w:lineRule="auto"/>
              <w:contextualSpacing/>
              <w:jc w:val="both"/>
              <w:rPr>
                <w:rFonts w:eastAsiaTheme="minorEastAsia"/>
                <w:sz w:val="18"/>
                <w:szCs w:val="18"/>
              </w:rPr>
            </w:pPr>
          </w:p>
          <w:p w:rsidR="00CF4DAD" w:rsidRDefault="00CF4DAD" w:rsidP="00CF4DAD">
            <w:pPr>
              <w:spacing w:after="0" w:line="240" w:lineRule="auto"/>
              <w:contextualSpacing/>
              <w:jc w:val="both"/>
              <w:rPr>
                <w:rFonts w:eastAsiaTheme="minorEastAsia"/>
                <w:sz w:val="18"/>
                <w:szCs w:val="18"/>
              </w:rPr>
            </w:pPr>
          </w:p>
          <w:p w:rsidR="00CF4DAD" w:rsidRDefault="00CF4DAD" w:rsidP="00CF4DAD">
            <w:pPr>
              <w:spacing w:after="0" w:line="240" w:lineRule="auto"/>
              <w:contextualSpacing/>
              <w:jc w:val="both"/>
              <w:rPr>
                <w:rFonts w:eastAsiaTheme="minorEastAsia"/>
                <w:sz w:val="18"/>
                <w:szCs w:val="18"/>
              </w:rPr>
            </w:pPr>
          </w:p>
          <w:p w:rsidR="00CF4DAD" w:rsidRDefault="00CF4DAD" w:rsidP="00CF4DAD">
            <w:pPr>
              <w:spacing w:after="0" w:line="240" w:lineRule="auto"/>
              <w:contextualSpacing/>
              <w:jc w:val="both"/>
              <w:rPr>
                <w:rFonts w:eastAsiaTheme="minorEastAsia"/>
                <w:sz w:val="18"/>
                <w:szCs w:val="18"/>
              </w:rPr>
            </w:pPr>
          </w:p>
          <w:p w:rsidR="00CF4DAD" w:rsidRDefault="00CF4DAD" w:rsidP="00CF4DAD">
            <w:pPr>
              <w:spacing w:after="0" w:line="240" w:lineRule="auto"/>
              <w:contextualSpacing/>
              <w:jc w:val="both"/>
              <w:rPr>
                <w:rFonts w:eastAsiaTheme="minorEastAsia"/>
                <w:sz w:val="18"/>
                <w:szCs w:val="18"/>
              </w:rPr>
            </w:pPr>
          </w:p>
          <w:p w:rsidR="00CF4DAD" w:rsidRPr="00AD513B" w:rsidRDefault="00CF4DAD" w:rsidP="00CF4DAD">
            <w:pPr>
              <w:spacing w:after="0" w:line="240" w:lineRule="auto"/>
              <w:contextualSpacing/>
              <w:jc w:val="both"/>
              <w:rPr>
                <w:rFonts w:eastAsia="Calibri"/>
                <w:sz w:val="18"/>
                <w:szCs w:val="18"/>
              </w:rPr>
            </w:pP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6,0</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5,4</w:t>
            </w:r>
          </w:p>
        </w:tc>
        <w:tc>
          <w:tcPr>
            <w:tcW w:w="1134"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6,0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156</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2600%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11,0</w:t>
            </w:r>
          </w:p>
        </w:tc>
        <w:tc>
          <w:tcPr>
            <w:tcW w:w="992" w:type="dxa"/>
            <w:vAlign w:val="center"/>
          </w:tcPr>
          <w:p w:rsidR="00CF4DAD" w:rsidRPr="005A1106" w:rsidRDefault="00CF4DAD" w:rsidP="00CF4DAD">
            <w:pPr>
              <w:spacing w:after="0" w:line="240" w:lineRule="auto"/>
              <w:jc w:val="center"/>
              <w:rPr>
                <w:rFonts w:eastAsia="Calibri"/>
                <w:sz w:val="16"/>
                <w:szCs w:val="16"/>
              </w:rPr>
            </w:pPr>
            <w:r w:rsidRPr="005A1106">
              <w:rPr>
                <w:rFonts w:eastAsia="Calibri"/>
                <w:sz w:val="16"/>
                <w:szCs w:val="16"/>
              </w:rPr>
              <w:t>16,0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Активная текучесть персонала</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 xml:space="preserve">Отношение суммарного количества работников Общества, уволенных по собственному желанию в соответствии с пунктами 3 (расторжение трудового договора по инициативе работника) и 5 (перевод работника по его просьбе или с его согласия на работу к другому работодателю, или переход на выборную работу (должность)) статьи 77 Трудового </w:t>
            </w:r>
            <w:r w:rsidRPr="00AD513B">
              <w:rPr>
                <w:rFonts w:eastAsiaTheme="minorEastAsia"/>
                <w:sz w:val="18"/>
                <w:szCs w:val="18"/>
              </w:rPr>
              <w:lastRenderedPageBreak/>
              <w:t>кодекса РФ, к среднесписочной численности за отчетный период</w:t>
            </w: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6,5</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7,1</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6,5</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10,3</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Не выполнено</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42%</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6,5</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6,5</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Соблюдение сроков осуществления технологического присоединения</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Комплексный показатель, оценивающий уровень качества осуществляемого техприсоединения к сети, из двух составляющих – качество рассмотрения заявок на ТП, качество исполнения договоров об осуществлении ТП заявителей к сети</w:t>
            </w:r>
          </w:p>
        </w:tc>
        <w:tc>
          <w:tcPr>
            <w:tcW w:w="992" w:type="dxa"/>
            <w:vAlign w:val="center"/>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отн.ед.</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1,1</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1,2</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1,1</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1,04</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105,4%</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1,1</w:t>
            </w:r>
          </w:p>
        </w:tc>
        <w:tc>
          <w:tcPr>
            <w:tcW w:w="992"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1,1</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Чистое привлечение кредитов и облигационных займов для покрытия дефицита источников финансирования инвестиционной программы</w:t>
            </w:r>
          </w:p>
          <w:p w:rsidR="00CF4DAD" w:rsidRPr="00AD513B" w:rsidRDefault="00CF4DAD" w:rsidP="00CF4DAD">
            <w:pPr>
              <w:spacing w:after="0" w:line="240" w:lineRule="auto"/>
              <w:contextualSpacing/>
              <w:jc w:val="both"/>
              <w:rPr>
                <w:rFonts w:eastAsia="Calibri"/>
                <w:sz w:val="18"/>
                <w:szCs w:val="18"/>
              </w:rPr>
            </w:pPr>
          </w:p>
          <w:p w:rsidR="00CF4DAD" w:rsidRPr="00AD513B" w:rsidRDefault="00CF4DAD" w:rsidP="00CF4DAD">
            <w:pPr>
              <w:spacing w:after="0" w:line="240" w:lineRule="auto"/>
              <w:contextualSpacing/>
              <w:jc w:val="both"/>
              <w:rPr>
                <w:rFonts w:eastAsia="Calibri"/>
                <w:sz w:val="18"/>
                <w:szCs w:val="18"/>
              </w:rPr>
            </w:pP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Рассчитывается как разница между привлеченными и погашенными заемными средствами (кредиты и облигационные займы)</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тыс. руб.</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Понижающий показатель</w:t>
            </w:r>
          </w:p>
        </w:tc>
        <w:tc>
          <w:tcPr>
            <w:tcW w:w="992" w:type="dxa"/>
            <w:vAlign w:val="center"/>
          </w:tcPr>
          <w:p w:rsidR="00CF4DAD" w:rsidRPr="005A1106" w:rsidRDefault="00CF4DAD" w:rsidP="00CF4DAD">
            <w:pPr>
              <w:spacing w:after="0" w:line="240" w:lineRule="auto"/>
              <w:jc w:val="center"/>
              <w:rPr>
                <w:sz w:val="16"/>
                <w:szCs w:val="16"/>
              </w:rPr>
            </w:pPr>
            <w:r w:rsidRPr="005A1106">
              <w:rPr>
                <w:sz w:val="16"/>
                <w:szCs w:val="16"/>
              </w:rPr>
              <w:t>0</w:t>
            </w:r>
          </w:p>
        </w:tc>
        <w:tc>
          <w:tcPr>
            <w:tcW w:w="1134" w:type="dxa"/>
            <w:vAlign w:val="center"/>
          </w:tcPr>
          <w:p w:rsidR="00CF4DAD" w:rsidRPr="005A1106" w:rsidRDefault="00CF4DAD" w:rsidP="00CF4DAD">
            <w:pPr>
              <w:spacing w:after="0" w:line="240" w:lineRule="auto"/>
              <w:jc w:val="center"/>
              <w:rPr>
                <w:sz w:val="16"/>
                <w:szCs w:val="16"/>
              </w:rPr>
            </w:pPr>
            <w:r w:rsidRPr="005A1106">
              <w:rPr>
                <w:sz w:val="16"/>
                <w:szCs w:val="16"/>
              </w:rPr>
              <w:t>0</w:t>
            </w:r>
          </w:p>
        </w:tc>
        <w:tc>
          <w:tcPr>
            <w:tcW w:w="1134" w:type="dxa"/>
            <w:vAlign w:val="center"/>
          </w:tcPr>
          <w:p w:rsidR="00CF4DAD" w:rsidRPr="005A1106" w:rsidRDefault="00CF4DAD" w:rsidP="00CF4DAD">
            <w:pPr>
              <w:spacing w:after="0" w:line="240" w:lineRule="auto"/>
              <w:jc w:val="center"/>
              <w:rPr>
                <w:sz w:val="16"/>
                <w:szCs w:val="16"/>
              </w:rPr>
            </w:pPr>
            <w:r w:rsidRPr="005A1106">
              <w:rPr>
                <w:sz w:val="16"/>
                <w:szCs w:val="16"/>
              </w:rPr>
              <w:t>0</w:t>
            </w:r>
          </w:p>
        </w:tc>
        <w:tc>
          <w:tcPr>
            <w:tcW w:w="992" w:type="dxa"/>
            <w:vAlign w:val="center"/>
          </w:tcPr>
          <w:p w:rsidR="00CF4DAD" w:rsidRPr="005A1106" w:rsidRDefault="00CF4DAD" w:rsidP="00CF4DAD">
            <w:pPr>
              <w:spacing w:after="0" w:line="240" w:lineRule="auto"/>
              <w:jc w:val="center"/>
              <w:rPr>
                <w:rFonts w:eastAsia="Calibri"/>
                <w:sz w:val="16"/>
                <w:szCs w:val="16"/>
              </w:rPr>
            </w:pPr>
            <w:r>
              <w:rPr>
                <w:rFonts w:eastAsia="Calibri"/>
                <w:sz w:val="16"/>
                <w:szCs w:val="16"/>
              </w:rPr>
              <w:t>0</w:t>
            </w:r>
          </w:p>
        </w:tc>
        <w:tc>
          <w:tcPr>
            <w:tcW w:w="1134" w:type="dxa"/>
            <w:vAlign w:val="center"/>
          </w:tcPr>
          <w:p w:rsidR="00CF4DAD" w:rsidRPr="005A1106" w:rsidRDefault="00CF4DAD" w:rsidP="00CF4DAD">
            <w:pPr>
              <w:spacing w:after="0" w:line="240" w:lineRule="auto"/>
              <w:contextualSpacing/>
              <w:jc w:val="center"/>
              <w:rPr>
                <w:rFonts w:eastAsia="Calibri"/>
                <w:sz w:val="16"/>
                <w:szCs w:val="16"/>
              </w:rPr>
            </w:pPr>
            <w:r>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rFonts w:eastAsia="Calibri"/>
                <w:sz w:val="16"/>
                <w:szCs w:val="16"/>
              </w:rPr>
            </w:pPr>
            <w:r>
              <w:rPr>
                <w:rFonts w:eastAsia="Calibri"/>
                <w:sz w:val="16"/>
                <w:szCs w:val="16"/>
              </w:rPr>
              <w:t>100%</w:t>
            </w:r>
          </w:p>
        </w:tc>
        <w:tc>
          <w:tcPr>
            <w:tcW w:w="992" w:type="dxa"/>
            <w:vAlign w:val="center"/>
          </w:tcPr>
          <w:p w:rsidR="00CF4DAD" w:rsidRPr="005A1106" w:rsidRDefault="00CF4DAD" w:rsidP="00CF4DAD">
            <w:pPr>
              <w:spacing w:after="0" w:line="240" w:lineRule="auto"/>
              <w:jc w:val="center"/>
              <w:rPr>
                <w:sz w:val="16"/>
                <w:szCs w:val="16"/>
              </w:rPr>
            </w:pPr>
            <w:r w:rsidRPr="005A1106">
              <w:rPr>
                <w:sz w:val="16"/>
                <w:szCs w:val="16"/>
              </w:rPr>
              <w:t>0</w:t>
            </w:r>
          </w:p>
        </w:tc>
        <w:tc>
          <w:tcPr>
            <w:tcW w:w="992" w:type="dxa"/>
            <w:vAlign w:val="center"/>
          </w:tcPr>
          <w:p w:rsidR="00CF4DAD" w:rsidRPr="005A1106" w:rsidRDefault="00CF4DAD" w:rsidP="00CF4DAD">
            <w:pPr>
              <w:spacing w:after="0" w:line="240" w:lineRule="auto"/>
              <w:jc w:val="center"/>
              <w:rPr>
                <w:sz w:val="16"/>
                <w:szCs w:val="16"/>
              </w:rPr>
            </w:pPr>
            <w:r w:rsidRPr="005A1106">
              <w:rPr>
                <w:sz w:val="16"/>
                <w:szCs w:val="16"/>
              </w:rPr>
              <w:t>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Эффективность перехода на использование отечественного программного обеспечения</w:t>
            </w:r>
          </w:p>
        </w:tc>
        <w:tc>
          <w:tcPr>
            <w:tcW w:w="2835" w:type="dxa"/>
          </w:tcPr>
          <w:p w:rsidR="00CF4DAD" w:rsidRPr="00A61B0D" w:rsidRDefault="00CF4DAD" w:rsidP="00CF4DAD">
            <w:pPr>
              <w:spacing w:after="0" w:line="240" w:lineRule="auto"/>
              <w:contextualSpacing/>
              <w:jc w:val="both"/>
              <w:rPr>
                <w:rFonts w:eastAsiaTheme="minorEastAsia"/>
                <w:sz w:val="18"/>
                <w:szCs w:val="18"/>
              </w:rPr>
            </w:pPr>
            <w:r w:rsidRPr="00AD513B">
              <w:rPr>
                <w:rFonts w:eastAsiaTheme="minorEastAsia"/>
                <w:sz w:val="18"/>
                <w:szCs w:val="18"/>
              </w:rPr>
              <w:t xml:space="preserve">Определяется как доля (процент) установленного российского (отечественного) ПО в общем объеме установленного ПО в Обществе, реализующего утвержденный Советом директоров Общества собственный план по переходу на преимущественное </w:t>
            </w:r>
            <w:r w:rsidRPr="00AD513B">
              <w:rPr>
                <w:rFonts w:eastAsiaTheme="minorEastAsia"/>
                <w:sz w:val="18"/>
                <w:szCs w:val="18"/>
              </w:rPr>
              <w:lastRenderedPageBreak/>
              <w:t>использование отечественного ПО</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5A1106" w:rsidRDefault="00CF4DAD" w:rsidP="00CF4DAD">
            <w:pPr>
              <w:spacing w:after="0" w:line="240" w:lineRule="auto"/>
              <w:contextualSpacing/>
              <w:jc w:val="center"/>
              <w:rPr>
                <w:rFonts w:eastAsia="Calibri"/>
                <w:sz w:val="16"/>
                <w:szCs w:val="16"/>
              </w:rPr>
            </w:pPr>
            <w:r w:rsidRPr="005A1106">
              <w:rPr>
                <w:rFonts w:eastAsia="Calibri"/>
                <w:sz w:val="16"/>
                <w:szCs w:val="16"/>
              </w:rPr>
              <w:t>Повышающий показатель</w:t>
            </w:r>
          </w:p>
        </w:tc>
        <w:tc>
          <w:tcPr>
            <w:tcW w:w="992" w:type="dxa"/>
            <w:vAlign w:val="center"/>
          </w:tcPr>
          <w:p w:rsidR="00CF4DAD" w:rsidRPr="005A1106" w:rsidRDefault="00CF4DAD" w:rsidP="00CF4DAD">
            <w:pPr>
              <w:spacing w:after="0" w:line="240" w:lineRule="auto"/>
              <w:jc w:val="center"/>
              <w:rPr>
                <w:sz w:val="16"/>
                <w:szCs w:val="16"/>
              </w:rPr>
            </w:pPr>
            <w:r w:rsidRPr="005A1106">
              <w:rPr>
                <w:rFonts w:eastAsia="Calibri"/>
                <w:sz w:val="16"/>
                <w:szCs w:val="16"/>
              </w:rPr>
              <w:t>75,0</w:t>
            </w:r>
          </w:p>
        </w:tc>
        <w:tc>
          <w:tcPr>
            <w:tcW w:w="1134" w:type="dxa"/>
            <w:vAlign w:val="center"/>
          </w:tcPr>
          <w:p w:rsidR="00CF4DAD" w:rsidRPr="005A1106" w:rsidRDefault="00CF4DAD" w:rsidP="00CF4DAD">
            <w:pPr>
              <w:spacing w:after="0" w:line="240" w:lineRule="auto"/>
              <w:jc w:val="center"/>
              <w:rPr>
                <w:sz w:val="16"/>
                <w:szCs w:val="16"/>
              </w:rPr>
            </w:pPr>
            <w:r w:rsidRPr="005A1106">
              <w:rPr>
                <w:rFonts w:eastAsia="Calibri"/>
                <w:sz w:val="16"/>
                <w:szCs w:val="16"/>
              </w:rPr>
              <w:t>67,5</w:t>
            </w:r>
          </w:p>
        </w:tc>
        <w:tc>
          <w:tcPr>
            <w:tcW w:w="1134" w:type="dxa"/>
            <w:vAlign w:val="center"/>
          </w:tcPr>
          <w:p w:rsidR="00CF4DAD" w:rsidRPr="005A1106" w:rsidRDefault="00CF4DAD" w:rsidP="00CF4DAD">
            <w:pPr>
              <w:spacing w:after="0" w:line="240" w:lineRule="auto"/>
              <w:jc w:val="center"/>
              <w:rPr>
                <w:sz w:val="16"/>
                <w:szCs w:val="16"/>
              </w:rPr>
            </w:pPr>
            <w:r w:rsidRPr="005A1106">
              <w:rPr>
                <w:sz w:val="16"/>
                <w:szCs w:val="16"/>
              </w:rPr>
              <w:t>75,0</w:t>
            </w:r>
          </w:p>
        </w:tc>
        <w:tc>
          <w:tcPr>
            <w:tcW w:w="992" w:type="dxa"/>
            <w:vAlign w:val="center"/>
          </w:tcPr>
          <w:p w:rsidR="00CF4DAD" w:rsidRPr="005A1106" w:rsidRDefault="00CF4DAD" w:rsidP="00CF4DAD">
            <w:pPr>
              <w:spacing w:after="0" w:line="240" w:lineRule="auto"/>
              <w:jc w:val="center"/>
              <w:rPr>
                <w:sz w:val="16"/>
                <w:szCs w:val="16"/>
                <w:lang w:val="en-US"/>
              </w:rPr>
            </w:pPr>
            <w:r w:rsidRPr="005A1106">
              <w:rPr>
                <w:sz w:val="16"/>
                <w:szCs w:val="16"/>
              </w:rPr>
              <w:t>75,93</w:t>
            </w:r>
          </w:p>
        </w:tc>
        <w:tc>
          <w:tcPr>
            <w:tcW w:w="1134" w:type="dxa"/>
            <w:vAlign w:val="center"/>
          </w:tcPr>
          <w:p w:rsidR="00CF4DAD" w:rsidRPr="005A1106" w:rsidRDefault="00CF4DAD" w:rsidP="00CF4DAD">
            <w:pPr>
              <w:spacing w:after="0" w:line="240" w:lineRule="auto"/>
              <w:contextualSpacing/>
              <w:jc w:val="center"/>
              <w:rPr>
                <w:sz w:val="16"/>
                <w:szCs w:val="16"/>
              </w:rPr>
            </w:pPr>
            <w:r w:rsidRPr="005A1106">
              <w:rPr>
                <w:rFonts w:eastAsia="Calibri"/>
                <w:sz w:val="16"/>
                <w:szCs w:val="16"/>
              </w:rPr>
              <w:t>Выполнен</w:t>
            </w:r>
          </w:p>
        </w:tc>
        <w:tc>
          <w:tcPr>
            <w:tcW w:w="851" w:type="dxa"/>
            <w:vAlign w:val="center"/>
          </w:tcPr>
          <w:p w:rsidR="00CF4DAD" w:rsidRPr="005A1106" w:rsidRDefault="00CF4DAD" w:rsidP="00CF4DAD">
            <w:pPr>
              <w:spacing w:after="0" w:line="240" w:lineRule="auto"/>
              <w:contextualSpacing/>
              <w:jc w:val="center"/>
              <w:rPr>
                <w:sz w:val="16"/>
                <w:szCs w:val="16"/>
                <w:lang w:val="en-US"/>
              </w:rPr>
            </w:pPr>
            <w:r w:rsidRPr="005A1106">
              <w:rPr>
                <w:sz w:val="16"/>
                <w:szCs w:val="16"/>
                <w:lang w:val="en-US"/>
              </w:rPr>
              <w:t>101%</w:t>
            </w:r>
          </w:p>
        </w:tc>
        <w:tc>
          <w:tcPr>
            <w:tcW w:w="992" w:type="dxa"/>
            <w:vAlign w:val="center"/>
          </w:tcPr>
          <w:p w:rsidR="00CF4DAD" w:rsidRPr="005A1106" w:rsidRDefault="00CF4DAD" w:rsidP="00CF4DAD">
            <w:pPr>
              <w:spacing w:after="0" w:line="240" w:lineRule="auto"/>
              <w:jc w:val="center"/>
              <w:rPr>
                <w:sz w:val="16"/>
                <w:szCs w:val="16"/>
              </w:rPr>
            </w:pPr>
            <w:r w:rsidRPr="005A1106">
              <w:rPr>
                <w:rFonts w:eastAsia="Calibri"/>
                <w:sz w:val="16"/>
                <w:szCs w:val="16"/>
              </w:rPr>
              <w:t>84,3</w:t>
            </w:r>
          </w:p>
        </w:tc>
        <w:tc>
          <w:tcPr>
            <w:tcW w:w="992" w:type="dxa"/>
            <w:vAlign w:val="center"/>
          </w:tcPr>
          <w:p w:rsidR="00CF4DAD" w:rsidRPr="005A1106" w:rsidRDefault="00CF4DAD" w:rsidP="00CF4DAD">
            <w:pPr>
              <w:spacing w:after="0" w:line="240" w:lineRule="auto"/>
              <w:jc w:val="center"/>
              <w:rPr>
                <w:sz w:val="16"/>
                <w:szCs w:val="16"/>
              </w:rPr>
            </w:pPr>
            <w:r w:rsidRPr="005A1106">
              <w:rPr>
                <w:rFonts w:eastAsia="Calibri"/>
                <w:sz w:val="16"/>
                <w:szCs w:val="16"/>
              </w:rPr>
              <w:t>88,9</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Просроченная дебиторская задолженность за услуги по передаче электроэнергии</w:t>
            </w:r>
          </w:p>
        </w:tc>
        <w:tc>
          <w:tcPr>
            <w:tcW w:w="2835" w:type="dxa"/>
          </w:tcPr>
          <w:p w:rsidR="00CF4DAD" w:rsidRPr="00AD513B" w:rsidRDefault="00CF4DAD" w:rsidP="00CF4DAD">
            <w:pPr>
              <w:spacing w:after="0" w:line="240" w:lineRule="auto"/>
              <w:contextualSpacing/>
              <w:jc w:val="both"/>
              <w:rPr>
                <w:rFonts w:eastAsiaTheme="minorEastAsia"/>
                <w:sz w:val="18"/>
                <w:szCs w:val="18"/>
              </w:rPr>
            </w:pPr>
            <w:r w:rsidRPr="00AD513B">
              <w:rPr>
                <w:rFonts w:eastAsiaTheme="minorEastAsia"/>
                <w:sz w:val="18"/>
                <w:szCs w:val="18"/>
              </w:rPr>
              <w:t xml:space="preserve">Непревышение фактического значения просроченной дебиторской задолженности (без учета мораторной задолженности) на конец отчетного периода над целевым значением </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тыс. руб.</w:t>
            </w:r>
          </w:p>
        </w:tc>
        <w:tc>
          <w:tcPr>
            <w:tcW w:w="1276"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Понижающий показатель</w:t>
            </w:r>
          </w:p>
        </w:tc>
        <w:tc>
          <w:tcPr>
            <w:tcW w:w="992" w:type="dxa"/>
            <w:vAlign w:val="center"/>
          </w:tcPr>
          <w:p w:rsidR="00CF4DAD" w:rsidRPr="00AD513B" w:rsidRDefault="00CF4DAD" w:rsidP="00CF4DAD">
            <w:pPr>
              <w:spacing w:after="0" w:line="240" w:lineRule="auto"/>
              <w:jc w:val="center"/>
              <w:rPr>
                <w:sz w:val="16"/>
                <w:szCs w:val="16"/>
              </w:rPr>
            </w:pPr>
            <w:r w:rsidRPr="00AD513B">
              <w:rPr>
                <w:sz w:val="16"/>
                <w:szCs w:val="16"/>
              </w:rPr>
              <w:t>0</w:t>
            </w:r>
          </w:p>
        </w:tc>
        <w:tc>
          <w:tcPr>
            <w:tcW w:w="1134" w:type="dxa"/>
            <w:vAlign w:val="center"/>
          </w:tcPr>
          <w:p w:rsidR="00CF4DAD" w:rsidRPr="00AD513B" w:rsidRDefault="00CF4DAD" w:rsidP="00CF4DAD">
            <w:pPr>
              <w:spacing w:after="0" w:line="240" w:lineRule="auto"/>
              <w:jc w:val="center"/>
              <w:rPr>
                <w:sz w:val="16"/>
                <w:szCs w:val="16"/>
              </w:rPr>
            </w:pPr>
            <w:r w:rsidRPr="00AD513B">
              <w:rPr>
                <w:sz w:val="16"/>
                <w:szCs w:val="16"/>
              </w:rPr>
              <w:t>0</w:t>
            </w:r>
          </w:p>
        </w:tc>
        <w:tc>
          <w:tcPr>
            <w:tcW w:w="1134" w:type="dxa"/>
            <w:vAlign w:val="center"/>
          </w:tcPr>
          <w:p w:rsidR="00CF4DAD" w:rsidRPr="00AD513B" w:rsidRDefault="00CF4DAD" w:rsidP="00CF4DAD">
            <w:pPr>
              <w:spacing w:after="0" w:line="240" w:lineRule="auto"/>
              <w:jc w:val="center"/>
              <w:rPr>
                <w:sz w:val="16"/>
                <w:szCs w:val="16"/>
              </w:rPr>
            </w:pPr>
            <w:r w:rsidRPr="00AD513B">
              <w:rPr>
                <w:sz w:val="16"/>
                <w:szCs w:val="16"/>
              </w:rPr>
              <w:t>0</w:t>
            </w:r>
          </w:p>
        </w:tc>
        <w:tc>
          <w:tcPr>
            <w:tcW w:w="992" w:type="dxa"/>
            <w:vAlign w:val="center"/>
          </w:tcPr>
          <w:p w:rsidR="00CF4DAD" w:rsidRPr="00AD513B" w:rsidRDefault="00CF4DAD" w:rsidP="00CF4DAD">
            <w:pPr>
              <w:spacing w:after="0" w:line="240" w:lineRule="auto"/>
              <w:jc w:val="center"/>
              <w:rPr>
                <w:sz w:val="16"/>
                <w:szCs w:val="16"/>
              </w:rPr>
            </w:pPr>
            <w:r w:rsidRPr="00AD513B">
              <w:rPr>
                <w:sz w:val="16"/>
                <w:szCs w:val="16"/>
              </w:rPr>
              <w:t>0</w:t>
            </w:r>
          </w:p>
        </w:tc>
        <w:tc>
          <w:tcPr>
            <w:tcW w:w="1134"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Выполнен</w:t>
            </w:r>
          </w:p>
        </w:tc>
        <w:tc>
          <w:tcPr>
            <w:tcW w:w="851"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100%</w:t>
            </w:r>
          </w:p>
        </w:tc>
        <w:tc>
          <w:tcPr>
            <w:tcW w:w="992" w:type="dxa"/>
            <w:vAlign w:val="center"/>
          </w:tcPr>
          <w:p w:rsidR="00CF4DAD" w:rsidRPr="00AD513B" w:rsidRDefault="00CF4DAD" w:rsidP="00CF4DAD">
            <w:pPr>
              <w:spacing w:after="0" w:line="240" w:lineRule="auto"/>
              <w:jc w:val="center"/>
              <w:rPr>
                <w:sz w:val="16"/>
                <w:szCs w:val="16"/>
              </w:rPr>
            </w:pPr>
            <w:r w:rsidRPr="00AD513B">
              <w:rPr>
                <w:sz w:val="16"/>
                <w:szCs w:val="16"/>
              </w:rPr>
              <w:t>0</w:t>
            </w:r>
          </w:p>
        </w:tc>
        <w:tc>
          <w:tcPr>
            <w:tcW w:w="992" w:type="dxa"/>
            <w:vAlign w:val="center"/>
          </w:tcPr>
          <w:p w:rsidR="00CF4DAD" w:rsidRPr="00AD513B" w:rsidRDefault="00CF4DAD" w:rsidP="00CF4DAD">
            <w:pPr>
              <w:spacing w:after="0" w:line="240" w:lineRule="auto"/>
              <w:jc w:val="center"/>
              <w:rPr>
                <w:sz w:val="16"/>
                <w:szCs w:val="16"/>
              </w:rPr>
            </w:pPr>
            <w:r w:rsidRPr="00AD513B">
              <w:rPr>
                <w:sz w:val="16"/>
                <w:szCs w:val="16"/>
              </w:rPr>
              <w:t>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Выполнение Комплексного плана по обеспечению безопасности</w:t>
            </w:r>
          </w:p>
        </w:tc>
        <w:tc>
          <w:tcPr>
            <w:tcW w:w="2835" w:type="dxa"/>
          </w:tcPr>
          <w:p w:rsidR="00CF4DAD" w:rsidRPr="00A61B0D" w:rsidRDefault="00CF4DAD" w:rsidP="00CF4DAD">
            <w:pPr>
              <w:spacing w:after="0" w:line="240" w:lineRule="auto"/>
              <w:contextualSpacing/>
              <w:jc w:val="both"/>
              <w:rPr>
                <w:rFonts w:eastAsiaTheme="minorEastAsia"/>
                <w:sz w:val="18"/>
                <w:szCs w:val="18"/>
              </w:rPr>
            </w:pPr>
            <w:r w:rsidRPr="00AD513B">
              <w:rPr>
                <w:rFonts w:eastAsiaTheme="minorEastAsia"/>
                <w:sz w:val="18"/>
                <w:szCs w:val="18"/>
              </w:rPr>
              <w:t>Рассчитывается как отношение своевременно выполненных мероприятий Комплексного плана по обеспечению безопасности к общему количеству мероприятий Комплексного плана по обеспечению безопасности</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Повышающий показатель</w:t>
            </w:r>
          </w:p>
        </w:tc>
        <w:tc>
          <w:tcPr>
            <w:tcW w:w="992" w:type="dxa"/>
            <w:vAlign w:val="center"/>
          </w:tcPr>
          <w:p w:rsidR="00CF4DAD" w:rsidRPr="00AD513B" w:rsidRDefault="00CF4DAD" w:rsidP="00CF4DAD">
            <w:pPr>
              <w:spacing w:after="0" w:line="240" w:lineRule="auto"/>
              <w:jc w:val="center"/>
              <w:rPr>
                <w:rFonts w:eastAsia="Calibri"/>
                <w:sz w:val="16"/>
                <w:szCs w:val="16"/>
              </w:rPr>
            </w:pPr>
            <w:r w:rsidRPr="00AD513B">
              <w:rPr>
                <w:sz w:val="16"/>
                <w:szCs w:val="16"/>
              </w:rPr>
              <w:t>100,0</w:t>
            </w:r>
          </w:p>
        </w:tc>
        <w:tc>
          <w:tcPr>
            <w:tcW w:w="1134" w:type="dxa"/>
            <w:vAlign w:val="center"/>
          </w:tcPr>
          <w:p w:rsidR="00CF4DAD" w:rsidRPr="00AD513B" w:rsidRDefault="00CF4DAD" w:rsidP="00CF4DAD">
            <w:pPr>
              <w:spacing w:after="0" w:line="240" w:lineRule="auto"/>
              <w:jc w:val="center"/>
              <w:rPr>
                <w:rFonts w:eastAsia="Calibri"/>
                <w:sz w:val="16"/>
                <w:szCs w:val="16"/>
              </w:rPr>
            </w:pPr>
            <w:r w:rsidRPr="00AD513B">
              <w:rPr>
                <w:rFonts w:eastAsia="Calibri"/>
                <w:sz w:val="16"/>
                <w:szCs w:val="16"/>
              </w:rPr>
              <w:t>90,0</w:t>
            </w:r>
          </w:p>
        </w:tc>
        <w:tc>
          <w:tcPr>
            <w:tcW w:w="1134" w:type="dxa"/>
            <w:vAlign w:val="center"/>
          </w:tcPr>
          <w:p w:rsidR="00CF4DAD" w:rsidRPr="00AD513B" w:rsidRDefault="00CF4DAD" w:rsidP="00CF4DAD">
            <w:pPr>
              <w:spacing w:after="0" w:line="240" w:lineRule="auto"/>
              <w:jc w:val="center"/>
              <w:rPr>
                <w:rFonts w:eastAsia="Calibri"/>
                <w:sz w:val="16"/>
                <w:szCs w:val="16"/>
              </w:rPr>
            </w:pPr>
            <w:r w:rsidRPr="00AD513B">
              <w:rPr>
                <w:rFonts w:eastAsia="Calibri"/>
                <w:sz w:val="16"/>
                <w:szCs w:val="16"/>
              </w:rPr>
              <w:t>100,0</w:t>
            </w:r>
          </w:p>
        </w:tc>
        <w:tc>
          <w:tcPr>
            <w:tcW w:w="992"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100</w:t>
            </w:r>
          </w:p>
        </w:tc>
        <w:tc>
          <w:tcPr>
            <w:tcW w:w="1134"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Выполнен</w:t>
            </w:r>
          </w:p>
        </w:tc>
        <w:tc>
          <w:tcPr>
            <w:tcW w:w="851"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100</w:t>
            </w:r>
          </w:p>
        </w:tc>
        <w:tc>
          <w:tcPr>
            <w:tcW w:w="992" w:type="dxa"/>
            <w:vAlign w:val="center"/>
          </w:tcPr>
          <w:p w:rsidR="00CF4DAD" w:rsidRPr="00AD513B" w:rsidRDefault="00CF4DAD" w:rsidP="00CF4DAD">
            <w:pPr>
              <w:spacing w:after="0" w:line="240" w:lineRule="auto"/>
              <w:jc w:val="center"/>
              <w:rPr>
                <w:rFonts w:eastAsia="Calibri"/>
                <w:sz w:val="16"/>
                <w:szCs w:val="16"/>
              </w:rPr>
            </w:pPr>
            <w:r w:rsidRPr="00AD513B">
              <w:rPr>
                <w:sz w:val="16"/>
                <w:szCs w:val="16"/>
              </w:rPr>
              <w:t>100,0</w:t>
            </w:r>
          </w:p>
        </w:tc>
        <w:tc>
          <w:tcPr>
            <w:tcW w:w="992" w:type="dxa"/>
            <w:vAlign w:val="center"/>
          </w:tcPr>
          <w:p w:rsidR="00CF4DAD" w:rsidRPr="00AD513B" w:rsidRDefault="00CF4DAD" w:rsidP="00CF4DAD">
            <w:pPr>
              <w:spacing w:after="0" w:line="240" w:lineRule="auto"/>
              <w:jc w:val="center"/>
              <w:rPr>
                <w:rFonts w:eastAsia="Calibri"/>
                <w:sz w:val="16"/>
                <w:szCs w:val="16"/>
              </w:rPr>
            </w:pPr>
            <w:r w:rsidRPr="00AD513B">
              <w:rPr>
                <w:sz w:val="16"/>
                <w:szCs w:val="16"/>
              </w:rPr>
              <w:t>100,0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Доля договоров, заключенных по результатам состоявшихся процедур, проведенных в электронной форме</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t>Рассчитывается как отношение количества закупочных процедур, проведенных в электронной форме, по результатам которых заключены расходные договоры, к общему количеству закупочных процедур (конкурентных и неконкурентных), по результатам которых заключены расходные договоры</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w:t>
            </w:r>
          </w:p>
        </w:tc>
        <w:tc>
          <w:tcPr>
            <w:tcW w:w="1276"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Повышающий показатель</w:t>
            </w:r>
          </w:p>
        </w:tc>
        <w:tc>
          <w:tcPr>
            <w:tcW w:w="992" w:type="dxa"/>
            <w:vAlign w:val="center"/>
          </w:tcPr>
          <w:p w:rsidR="00CF4DAD" w:rsidRPr="00AD513B" w:rsidRDefault="00CF4DAD" w:rsidP="00CF4DAD">
            <w:pPr>
              <w:spacing w:after="0" w:line="240" w:lineRule="auto"/>
              <w:jc w:val="center"/>
              <w:rPr>
                <w:sz w:val="16"/>
                <w:szCs w:val="16"/>
              </w:rPr>
            </w:pPr>
            <w:r w:rsidRPr="00AD513B">
              <w:rPr>
                <w:rFonts w:eastAsia="Calibri"/>
                <w:sz w:val="16"/>
                <w:szCs w:val="16"/>
              </w:rPr>
              <w:t>54,0</w:t>
            </w:r>
          </w:p>
        </w:tc>
        <w:tc>
          <w:tcPr>
            <w:tcW w:w="1134" w:type="dxa"/>
            <w:vAlign w:val="center"/>
          </w:tcPr>
          <w:p w:rsidR="00CF4DAD" w:rsidRPr="00AD513B" w:rsidRDefault="00CF4DAD" w:rsidP="00CF4DAD">
            <w:pPr>
              <w:spacing w:after="0" w:line="240" w:lineRule="auto"/>
              <w:jc w:val="center"/>
              <w:rPr>
                <w:sz w:val="16"/>
                <w:szCs w:val="16"/>
              </w:rPr>
            </w:pPr>
            <w:r w:rsidRPr="00AD513B">
              <w:rPr>
                <w:bCs/>
                <w:sz w:val="16"/>
                <w:szCs w:val="16"/>
              </w:rPr>
              <w:t>48,6</w:t>
            </w:r>
          </w:p>
        </w:tc>
        <w:tc>
          <w:tcPr>
            <w:tcW w:w="1134" w:type="dxa"/>
            <w:vAlign w:val="center"/>
          </w:tcPr>
          <w:p w:rsidR="00CF4DAD" w:rsidRPr="00AD513B" w:rsidRDefault="00CF4DAD" w:rsidP="00CF4DAD">
            <w:pPr>
              <w:spacing w:after="0" w:line="240" w:lineRule="auto"/>
              <w:jc w:val="center"/>
              <w:rPr>
                <w:sz w:val="16"/>
                <w:szCs w:val="16"/>
              </w:rPr>
            </w:pPr>
            <w:r w:rsidRPr="00AD513B">
              <w:rPr>
                <w:sz w:val="16"/>
                <w:szCs w:val="16"/>
              </w:rPr>
              <w:t>54,0</w:t>
            </w:r>
          </w:p>
        </w:tc>
        <w:tc>
          <w:tcPr>
            <w:tcW w:w="992" w:type="dxa"/>
            <w:vAlign w:val="center"/>
          </w:tcPr>
          <w:p w:rsidR="00CF4DAD" w:rsidRPr="00AD513B" w:rsidRDefault="00CF4DAD" w:rsidP="00CF4DAD">
            <w:pPr>
              <w:spacing w:after="0" w:line="240" w:lineRule="auto"/>
              <w:jc w:val="center"/>
              <w:rPr>
                <w:bCs/>
                <w:sz w:val="16"/>
                <w:szCs w:val="16"/>
              </w:rPr>
            </w:pPr>
            <w:r w:rsidRPr="00AD513B">
              <w:rPr>
                <w:bCs/>
                <w:sz w:val="16"/>
                <w:szCs w:val="16"/>
              </w:rPr>
              <w:t>54</w:t>
            </w:r>
          </w:p>
        </w:tc>
        <w:tc>
          <w:tcPr>
            <w:tcW w:w="1134"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Выполнен</w:t>
            </w:r>
          </w:p>
        </w:tc>
        <w:tc>
          <w:tcPr>
            <w:tcW w:w="851"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100</w:t>
            </w:r>
          </w:p>
        </w:tc>
        <w:tc>
          <w:tcPr>
            <w:tcW w:w="992" w:type="dxa"/>
            <w:vAlign w:val="center"/>
          </w:tcPr>
          <w:p w:rsidR="00CF4DAD" w:rsidRPr="00AD513B" w:rsidRDefault="00CF4DAD" w:rsidP="00CF4DAD">
            <w:pPr>
              <w:spacing w:after="0" w:line="240" w:lineRule="auto"/>
              <w:jc w:val="center"/>
              <w:rPr>
                <w:sz w:val="16"/>
                <w:szCs w:val="16"/>
              </w:rPr>
            </w:pPr>
            <w:r w:rsidRPr="00AD513B">
              <w:rPr>
                <w:rFonts w:eastAsia="Calibri"/>
                <w:sz w:val="16"/>
                <w:szCs w:val="16"/>
              </w:rPr>
              <w:t>56,0</w:t>
            </w:r>
          </w:p>
        </w:tc>
        <w:tc>
          <w:tcPr>
            <w:tcW w:w="992" w:type="dxa"/>
            <w:vAlign w:val="center"/>
          </w:tcPr>
          <w:p w:rsidR="00CF4DAD" w:rsidRPr="00AD513B" w:rsidRDefault="00CF4DAD" w:rsidP="00CF4DAD">
            <w:pPr>
              <w:spacing w:after="0" w:line="240" w:lineRule="auto"/>
              <w:jc w:val="center"/>
              <w:rPr>
                <w:sz w:val="16"/>
                <w:szCs w:val="16"/>
              </w:rPr>
            </w:pPr>
            <w:r w:rsidRPr="00AD513B">
              <w:rPr>
                <w:rFonts w:eastAsia="Calibri"/>
                <w:sz w:val="16"/>
                <w:szCs w:val="16"/>
              </w:rPr>
              <w:t>60,0</w:t>
            </w:r>
          </w:p>
        </w:tc>
      </w:tr>
      <w:tr w:rsidR="00CF4DAD" w:rsidRPr="007A7910" w:rsidTr="00CF4DAD">
        <w:tc>
          <w:tcPr>
            <w:tcW w:w="1668" w:type="dxa"/>
          </w:tcPr>
          <w:p w:rsidR="00CF4DAD" w:rsidRPr="00AD513B" w:rsidRDefault="00CF4DAD" w:rsidP="00CF4DAD">
            <w:pPr>
              <w:spacing w:after="0" w:line="240" w:lineRule="auto"/>
              <w:contextualSpacing/>
              <w:jc w:val="both"/>
              <w:rPr>
                <w:rFonts w:eastAsia="Calibri"/>
                <w:sz w:val="18"/>
                <w:szCs w:val="18"/>
              </w:rPr>
            </w:pPr>
            <w:r w:rsidRPr="00AD513B">
              <w:rPr>
                <w:rFonts w:eastAsia="Calibri"/>
                <w:sz w:val="18"/>
                <w:szCs w:val="18"/>
              </w:rPr>
              <w:t xml:space="preserve">Отсутствие оговорки и/или модифицированного мнения Аудитора, влияющих на достоверность </w:t>
            </w:r>
            <w:r w:rsidRPr="00AD513B">
              <w:rPr>
                <w:rFonts w:eastAsia="Calibri"/>
                <w:sz w:val="18"/>
                <w:szCs w:val="18"/>
              </w:rPr>
              <w:lastRenderedPageBreak/>
              <w:t>данных годовой бухгалтерской (финансовой) отчетности</w:t>
            </w:r>
          </w:p>
        </w:tc>
        <w:tc>
          <w:tcPr>
            <w:tcW w:w="2835" w:type="dxa"/>
          </w:tcPr>
          <w:p w:rsidR="00CF4DAD" w:rsidRPr="00AD513B" w:rsidRDefault="00CF4DAD" w:rsidP="00CF4DAD">
            <w:pPr>
              <w:spacing w:after="0" w:line="240" w:lineRule="auto"/>
              <w:contextualSpacing/>
              <w:jc w:val="both"/>
              <w:rPr>
                <w:rFonts w:eastAsia="Calibri"/>
                <w:sz w:val="18"/>
                <w:szCs w:val="18"/>
              </w:rPr>
            </w:pPr>
            <w:r w:rsidRPr="00AD513B">
              <w:rPr>
                <w:rFonts w:eastAsiaTheme="minorEastAsia"/>
                <w:sz w:val="18"/>
                <w:szCs w:val="18"/>
              </w:rPr>
              <w:lastRenderedPageBreak/>
              <w:t xml:space="preserve">При расчете показателя учитывается наличие немодифицированного или модифицированного аудиторского заключения (мнение с оговоркой, отрицательное мнение, отказ от </w:t>
            </w:r>
            <w:r w:rsidRPr="00AD513B">
              <w:rPr>
                <w:rFonts w:eastAsiaTheme="minorEastAsia"/>
                <w:sz w:val="18"/>
                <w:szCs w:val="18"/>
              </w:rPr>
              <w:lastRenderedPageBreak/>
              <w:t>выражения мнения) о достоверности показателей бухгалтерской (финансовой) отчетности Общества</w:t>
            </w:r>
          </w:p>
        </w:tc>
        <w:tc>
          <w:tcPr>
            <w:tcW w:w="992" w:type="dxa"/>
          </w:tcPr>
          <w:p w:rsidR="00CF4DAD" w:rsidRPr="00601FF9" w:rsidRDefault="00CF4DAD" w:rsidP="00CF4DAD">
            <w:pPr>
              <w:spacing w:after="0" w:line="240" w:lineRule="auto"/>
              <w:contextualSpacing/>
              <w:jc w:val="center"/>
              <w:rPr>
                <w:rFonts w:eastAsia="Calibri"/>
                <w:sz w:val="18"/>
                <w:szCs w:val="18"/>
              </w:rPr>
            </w:pPr>
          </w:p>
        </w:tc>
        <w:tc>
          <w:tcPr>
            <w:tcW w:w="567" w:type="dxa"/>
            <w:vAlign w:val="center"/>
          </w:tcPr>
          <w:p w:rsidR="00CF4DAD" w:rsidRPr="00601FF9" w:rsidRDefault="00CF4DAD" w:rsidP="00CF4DAD">
            <w:pPr>
              <w:spacing w:after="0" w:line="240" w:lineRule="auto"/>
              <w:contextualSpacing/>
              <w:jc w:val="center"/>
              <w:rPr>
                <w:rFonts w:eastAsia="Calibri"/>
                <w:sz w:val="18"/>
                <w:szCs w:val="18"/>
              </w:rPr>
            </w:pPr>
            <w:r w:rsidRPr="00601FF9">
              <w:rPr>
                <w:rFonts w:eastAsia="Calibri"/>
                <w:sz w:val="18"/>
                <w:szCs w:val="18"/>
              </w:rPr>
              <w:t>вып/не вып</w:t>
            </w:r>
          </w:p>
        </w:tc>
        <w:tc>
          <w:tcPr>
            <w:tcW w:w="1276"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Понижающий показатель</w:t>
            </w:r>
          </w:p>
        </w:tc>
        <w:tc>
          <w:tcPr>
            <w:tcW w:w="992" w:type="dxa"/>
            <w:vAlign w:val="center"/>
          </w:tcPr>
          <w:p w:rsidR="00CF4DAD" w:rsidRPr="00AD513B" w:rsidRDefault="00CF4DAD" w:rsidP="00CF4DAD">
            <w:pPr>
              <w:spacing w:after="0" w:line="240" w:lineRule="auto"/>
              <w:jc w:val="center"/>
              <w:rPr>
                <w:bCs/>
                <w:sz w:val="16"/>
                <w:szCs w:val="16"/>
              </w:rPr>
            </w:pPr>
            <w:r w:rsidRPr="00AD513B">
              <w:rPr>
                <w:sz w:val="16"/>
                <w:szCs w:val="16"/>
              </w:rPr>
              <w:t>Выполнен</w:t>
            </w:r>
          </w:p>
        </w:tc>
        <w:tc>
          <w:tcPr>
            <w:tcW w:w="1134" w:type="dxa"/>
            <w:vAlign w:val="center"/>
          </w:tcPr>
          <w:p w:rsidR="00CF4DAD" w:rsidRPr="00AD513B" w:rsidRDefault="00CF4DAD" w:rsidP="00CF4DAD">
            <w:pPr>
              <w:spacing w:after="0" w:line="240" w:lineRule="auto"/>
              <w:jc w:val="center"/>
              <w:rPr>
                <w:sz w:val="16"/>
                <w:szCs w:val="16"/>
              </w:rPr>
            </w:pPr>
            <w:r w:rsidRPr="00AD513B">
              <w:rPr>
                <w:sz w:val="16"/>
                <w:szCs w:val="16"/>
              </w:rPr>
              <w:t>Выполнен</w:t>
            </w:r>
          </w:p>
        </w:tc>
        <w:tc>
          <w:tcPr>
            <w:tcW w:w="1134" w:type="dxa"/>
            <w:vAlign w:val="center"/>
          </w:tcPr>
          <w:p w:rsidR="00CF4DAD" w:rsidRPr="00AD513B" w:rsidRDefault="00CF4DAD" w:rsidP="00CF4DAD">
            <w:pPr>
              <w:spacing w:after="0" w:line="240" w:lineRule="auto"/>
              <w:jc w:val="center"/>
              <w:rPr>
                <w:sz w:val="16"/>
                <w:szCs w:val="16"/>
              </w:rPr>
            </w:pPr>
            <w:r w:rsidRPr="00AD513B">
              <w:rPr>
                <w:sz w:val="16"/>
                <w:szCs w:val="16"/>
              </w:rPr>
              <w:t>Выполнен</w:t>
            </w:r>
          </w:p>
        </w:tc>
        <w:tc>
          <w:tcPr>
            <w:tcW w:w="992" w:type="dxa"/>
            <w:vAlign w:val="center"/>
          </w:tcPr>
          <w:p w:rsidR="00CF4DAD" w:rsidRPr="00AD513B" w:rsidRDefault="00CF4DAD" w:rsidP="00CF4DAD">
            <w:pPr>
              <w:spacing w:after="0" w:line="240" w:lineRule="auto"/>
              <w:contextualSpacing/>
              <w:jc w:val="center"/>
              <w:rPr>
                <w:rFonts w:eastAsia="Calibri"/>
                <w:sz w:val="16"/>
                <w:szCs w:val="16"/>
              </w:rPr>
            </w:pPr>
            <w:r w:rsidRPr="00AD513B">
              <w:rPr>
                <w:sz w:val="16"/>
                <w:szCs w:val="16"/>
              </w:rPr>
              <w:t>Выполнен</w:t>
            </w:r>
          </w:p>
        </w:tc>
        <w:tc>
          <w:tcPr>
            <w:tcW w:w="1134" w:type="dxa"/>
            <w:vAlign w:val="center"/>
          </w:tcPr>
          <w:p w:rsidR="00CF4DAD" w:rsidRPr="00AD513B" w:rsidRDefault="00CF4DAD" w:rsidP="00CF4DAD">
            <w:pPr>
              <w:spacing w:after="0" w:line="240" w:lineRule="auto"/>
              <w:contextualSpacing/>
              <w:jc w:val="center"/>
              <w:rPr>
                <w:rFonts w:eastAsia="Calibri"/>
                <w:sz w:val="16"/>
                <w:szCs w:val="16"/>
              </w:rPr>
            </w:pPr>
            <w:r w:rsidRPr="00AD513B">
              <w:rPr>
                <w:sz w:val="16"/>
                <w:szCs w:val="16"/>
              </w:rPr>
              <w:t>Выполнен</w:t>
            </w:r>
          </w:p>
        </w:tc>
        <w:tc>
          <w:tcPr>
            <w:tcW w:w="851" w:type="dxa"/>
            <w:vAlign w:val="center"/>
          </w:tcPr>
          <w:p w:rsidR="00CF4DAD" w:rsidRPr="00AD513B" w:rsidRDefault="00CF4DAD" w:rsidP="00CF4DAD">
            <w:pPr>
              <w:spacing w:after="0" w:line="240" w:lineRule="auto"/>
              <w:contextualSpacing/>
              <w:jc w:val="center"/>
              <w:rPr>
                <w:rFonts w:eastAsia="Calibri"/>
                <w:sz w:val="16"/>
                <w:szCs w:val="16"/>
              </w:rPr>
            </w:pPr>
            <w:r w:rsidRPr="00AD513B">
              <w:rPr>
                <w:rFonts w:eastAsia="Calibri"/>
                <w:sz w:val="16"/>
                <w:szCs w:val="16"/>
              </w:rPr>
              <w:t>100</w:t>
            </w:r>
          </w:p>
        </w:tc>
        <w:tc>
          <w:tcPr>
            <w:tcW w:w="992" w:type="dxa"/>
            <w:vAlign w:val="center"/>
          </w:tcPr>
          <w:p w:rsidR="00CF4DAD" w:rsidRPr="00AD513B" w:rsidRDefault="00CF4DAD" w:rsidP="00CF4DAD">
            <w:pPr>
              <w:spacing w:after="0" w:line="240" w:lineRule="auto"/>
              <w:jc w:val="center"/>
              <w:rPr>
                <w:bCs/>
                <w:sz w:val="16"/>
                <w:szCs w:val="16"/>
              </w:rPr>
            </w:pPr>
            <w:r w:rsidRPr="00AD513B">
              <w:rPr>
                <w:sz w:val="16"/>
                <w:szCs w:val="16"/>
              </w:rPr>
              <w:t>Выполнен</w:t>
            </w:r>
          </w:p>
        </w:tc>
        <w:tc>
          <w:tcPr>
            <w:tcW w:w="992" w:type="dxa"/>
            <w:vAlign w:val="center"/>
          </w:tcPr>
          <w:p w:rsidR="00CF4DAD" w:rsidRPr="00AD513B" w:rsidRDefault="00CF4DAD" w:rsidP="00CF4DAD">
            <w:pPr>
              <w:spacing w:after="0" w:line="240" w:lineRule="auto"/>
              <w:jc w:val="center"/>
              <w:rPr>
                <w:bCs/>
                <w:sz w:val="16"/>
                <w:szCs w:val="16"/>
              </w:rPr>
            </w:pPr>
            <w:r w:rsidRPr="00AD513B">
              <w:rPr>
                <w:sz w:val="16"/>
                <w:szCs w:val="16"/>
              </w:rPr>
              <w:t>Выполнен</w:t>
            </w:r>
          </w:p>
        </w:tc>
      </w:tr>
    </w:tbl>
    <w:p w:rsidR="00F52703" w:rsidRPr="00B369F9" w:rsidRDefault="00F52703" w:rsidP="005F17F4">
      <w:pPr>
        <w:spacing w:after="0" w:line="240" w:lineRule="auto"/>
        <w:rPr>
          <w:sz w:val="24"/>
          <w:szCs w:val="24"/>
          <w:lang w:eastAsia="ru-RU"/>
        </w:rPr>
      </w:pPr>
    </w:p>
    <w:p w:rsidR="00F52703" w:rsidRDefault="00F52703">
      <w:pPr>
        <w:spacing w:after="160" w:line="259" w:lineRule="auto"/>
        <w:sectPr w:rsidR="00F52703" w:rsidSect="00F52703">
          <w:headerReference w:type="default" r:id="rId10"/>
          <w:footnotePr>
            <w:numRestart w:val="eachPage"/>
          </w:footnotePr>
          <w:pgSz w:w="16838" w:h="11906" w:orient="landscape"/>
          <w:pgMar w:top="1701" w:right="1134" w:bottom="851" w:left="1134" w:header="709" w:footer="709" w:gutter="0"/>
          <w:cols w:space="708"/>
          <w:titlePg/>
          <w:docGrid w:linePitch="360"/>
        </w:sectPr>
      </w:pPr>
    </w:p>
    <w:p w:rsidR="00B9098F" w:rsidRPr="00B369F9" w:rsidRDefault="00B9098F" w:rsidP="00B9098F">
      <w:pPr>
        <w:pStyle w:val="1"/>
        <w:ind w:firstLine="709"/>
        <w:rPr>
          <w:b w:val="0"/>
        </w:rPr>
      </w:pPr>
      <w:bookmarkStart w:id="12" w:name="_Toc163738858"/>
      <w:r w:rsidRPr="00B369F9">
        <w:lastRenderedPageBreak/>
        <w:t>Ключевые риски</w:t>
      </w:r>
      <w:bookmarkEnd w:id="12"/>
    </w:p>
    <w:p w:rsidR="00B9098F" w:rsidRPr="00B369F9" w:rsidRDefault="00B9098F" w:rsidP="00B9098F">
      <w:pPr>
        <w:tabs>
          <w:tab w:val="left" w:pos="993"/>
        </w:tabs>
        <w:spacing w:after="0" w:line="240" w:lineRule="auto"/>
        <w:ind w:right="-142"/>
        <w:contextualSpacing/>
        <w:jc w:val="both"/>
        <w:rPr>
          <w:rFonts w:ascii="Times New Roman" w:hAnsi="Times New Roman" w:cs="Times New Roman"/>
          <w:sz w:val="24"/>
          <w:szCs w:val="24"/>
        </w:rPr>
      </w:pPr>
    </w:p>
    <w:p w:rsidR="00B9098F" w:rsidRPr="00B369F9" w:rsidRDefault="00B9098F" w:rsidP="00B9098F">
      <w:pPr>
        <w:spacing w:after="0" w:line="240" w:lineRule="auto"/>
        <w:ind w:firstLine="567"/>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Значимость риска – комбинация вероятности наступления риска и величины последствий для Общества в денежном и ином выражении. Оценка значимости риска проведена экспертно в соответствии со следующей шкалой:</w:t>
      </w:r>
    </w:p>
    <w:p w:rsidR="00B9098F" w:rsidRPr="00B369F9" w:rsidRDefault="00B9098F" w:rsidP="00B9098F">
      <w:pPr>
        <w:spacing w:after="0" w:line="240" w:lineRule="auto"/>
        <w:ind w:firstLine="708"/>
        <w:jc w:val="both"/>
        <w:rPr>
          <w:rFonts w:ascii="Times New Roman" w:eastAsia="Times New Roman" w:hAnsi="Times New Roman" w:cs="Times New Roman"/>
          <w:sz w:val="24"/>
          <w:szCs w:val="24"/>
          <w:lang w:eastAsia="ru-RU"/>
        </w:rPr>
      </w:pP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9"/>
        <w:gridCol w:w="958"/>
        <w:gridCol w:w="6503"/>
      </w:tblGrid>
      <w:tr w:rsidR="00B9098F" w:rsidRPr="00296BE1" w:rsidTr="00E04827">
        <w:trPr>
          <w:trHeight w:val="448"/>
          <w:jc w:val="center"/>
        </w:trPr>
        <w:tc>
          <w:tcPr>
            <w:tcW w:w="10060"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Уровень значимости</w:t>
            </w:r>
          </w:p>
        </w:tc>
      </w:tr>
      <w:tr w:rsidR="00B9098F" w:rsidRPr="00296BE1" w:rsidTr="00E04827">
        <w:trPr>
          <w:trHeight w:val="440"/>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Times New Roman" w:eastAsia="Times New Roman" w:hAnsi="Times New Roman" w:cs="Times New Roman"/>
                <w:sz w:val="20"/>
                <w:szCs w:val="20"/>
                <w:lang w:eastAsia="ru-RU"/>
              </w:rPr>
              <w:t>Критический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Calibri" w:eastAsia="Calibri" w:hAnsi="Calibri" w:cs="Times New Roman"/>
                <w:noProof/>
                <w:sz w:val="20"/>
                <w:szCs w:val="20"/>
                <w:lang w:eastAsia="ru-RU"/>
              </w:rPr>
              <mc:AlternateContent>
                <mc:Choice Requires="wps">
                  <w:drawing>
                    <wp:anchor distT="0" distB="0" distL="114300" distR="114300" simplePos="0" relativeHeight="251671552" behindDoc="0" locked="0" layoutInCell="1" allowOverlap="1" wp14:anchorId="7627B2EE" wp14:editId="6C0856E9">
                      <wp:simplePos x="0" y="0"/>
                      <wp:positionH relativeFrom="column">
                        <wp:posOffset>85725</wp:posOffset>
                      </wp:positionH>
                      <wp:positionV relativeFrom="paragraph">
                        <wp:posOffset>40640</wp:posOffset>
                      </wp:positionV>
                      <wp:extent cx="159385" cy="163830"/>
                      <wp:effectExtent l="0" t="0" r="12065" b="26670"/>
                      <wp:wrapNone/>
                      <wp:docPr id="44" name="Овал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C0504D"/>
                              </a:solidFill>
                              <a:ln w="25400" cap="flat" cmpd="sng" algn="ctr">
                                <a:solidFill>
                                  <a:srgbClr val="C0504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6E6931F" id="Овал 44" o:spid="_x0000_s1026" style="position:absolute;margin-left:6.75pt;margin-top:3.2pt;width:12.55pt;height:12.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" fillcolor="#c0504d" strokecolor="#8c3836" strokeweight="2pt">
                      <v:path arrowok="t"/>
                    </v:oval>
                  </w:pict>
                </mc:Fallback>
              </mc:AlternateContent>
            </w:r>
          </w:p>
        </w:tc>
        <w:tc>
          <w:tcPr>
            <w:tcW w:w="6503" w:type="dxa"/>
            <w:tcBorders>
              <w:top w:val="single" w:sz="4" w:space="0" w:color="auto"/>
              <w:left w:val="single" w:sz="4" w:space="0" w:color="auto"/>
              <w:bottom w:val="single" w:sz="4" w:space="0" w:color="auto"/>
              <w:right w:val="single" w:sz="4" w:space="0" w:color="auto"/>
            </w:tcBorders>
            <w:shd w:val="clear" w:color="auto" w:fill="FFFFFF"/>
          </w:tcPr>
          <w:p w:rsidR="00B9098F" w:rsidRPr="00296BE1" w:rsidRDefault="00B9098F" w:rsidP="00E04827">
            <w:pPr>
              <w:spacing w:after="0" w:line="240" w:lineRule="auto"/>
              <w:jc w:val="both"/>
              <w:rPr>
                <w:rFonts w:ascii="Calibri" w:eastAsia="Calibri" w:hAnsi="Calibri" w:cs="Times New Roman"/>
                <w:noProof/>
                <w:sz w:val="20"/>
                <w:szCs w:val="20"/>
                <w:lang w:eastAsia="ru-RU"/>
              </w:rPr>
            </w:pPr>
            <w:r w:rsidRPr="00296BE1">
              <w:rPr>
                <w:rFonts w:ascii="Times New Roman" w:eastAsia="Times New Roman" w:hAnsi="Times New Roman" w:cs="Times New Roman"/>
                <w:sz w:val="20"/>
                <w:szCs w:val="20"/>
                <w:lang w:eastAsia="ru-RU"/>
              </w:rPr>
              <w:t>При котором реализация риска может привести к недостижению установленных органами управления целей, длительным прерыванием деятельности, негативному освещению деятельности в СМИ и снижению рыночной котировки акций Общества.</w:t>
            </w:r>
          </w:p>
        </w:tc>
      </w:tr>
      <w:tr w:rsidR="00B9098F" w:rsidRPr="00296BE1" w:rsidTr="00E04827">
        <w:trPr>
          <w:trHeight w:val="417"/>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Times New Roman" w:eastAsia="Times New Roman" w:hAnsi="Times New Roman" w:cs="Times New Roman"/>
                <w:sz w:val="20"/>
                <w:szCs w:val="20"/>
                <w:lang w:eastAsia="ru-RU"/>
              </w:rPr>
              <w:t>Значимый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Calibri" w:eastAsia="Calibri" w:hAnsi="Calibri" w:cs="Times New Roman"/>
                <w:noProof/>
                <w:sz w:val="20"/>
                <w:szCs w:val="20"/>
                <w:lang w:eastAsia="ru-RU"/>
              </w:rPr>
              <mc:AlternateContent>
                <mc:Choice Requires="wps">
                  <w:drawing>
                    <wp:anchor distT="0" distB="0" distL="114300" distR="114300" simplePos="0" relativeHeight="251672576" behindDoc="0" locked="0" layoutInCell="1" allowOverlap="1" wp14:anchorId="16FB0BA1" wp14:editId="37F9D104">
                      <wp:simplePos x="0" y="0"/>
                      <wp:positionH relativeFrom="column">
                        <wp:posOffset>86995</wp:posOffset>
                      </wp:positionH>
                      <wp:positionV relativeFrom="paragraph">
                        <wp:posOffset>18415</wp:posOffset>
                      </wp:positionV>
                      <wp:extent cx="159385" cy="163830"/>
                      <wp:effectExtent l="0" t="0" r="12065" b="26670"/>
                      <wp:wrapNone/>
                      <wp:docPr id="51" name="Овал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94C29F" id="Овал 51" o:spid="_x0000_s1026" style="position:absolute;margin-left:6.85pt;margin-top:1.45pt;width:12.55pt;height:12.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" fillcolor="#ffc000" strokecolor="#b66d31" strokeweight="2pt">
                      <v:path arrowok="t"/>
                    </v:oval>
                  </w:pict>
                </mc:Fallback>
              </mc:AlternateContent>
            </w:r>
          </w:p>
        </w:tc>
        <w:tc>
          <w:tcPr>
            <w:tcW w:w="6503" w:type="dxa"/>
            <w:tcBorders>
              <w:top w:val="single" w:sz="4" w:space="0" w:color="auto"/>
              <w:left w:val="single" w:sz="4" w:space="0" w:color="auto"/>
              <w:bottom w:val="single" w:sz="4" w:space="0" w:color="auto"/>
              <w:right w:val="single" w:sz="4" w:space="0" w:color="auto"/>
            </w:tcBorders>
            <w:shd w:val="clear" w:color="auto" w:fill="FFFFFF"/>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При котором реализация риска может привести к значительным отклонениям ключевых показателей эффективности, краткосрочному приостановлению деятельности, снижению независимых рейтингов, негативному освещению деятельности.</w:t>
            </w:r>
          </w:p>
        </w:tc>
      </w:tr>
      <w:tr w:rsidR="00B9098F" w:rsidRPr="00296BE1" w:rsidTr="00E04827">
        <w:trPr>
          <w:trHeight w:val="423"/>
          <w:jc w:val="center"/>
        </w:trPr>
        <w:tc>
          <w:tcPr>
            <w:tcW w:w="25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Times New Roman" w:eastAsia="Times New Roman" w:hAnsi="Times New Roman" w:cs="Times New Roman"/>
                <w:sz w:val="20"/>
                <w:szCs w:val="20"/>
                <w:lang w:eastAsia="ru-RU"/>
              </w:rPr>
              <w:t>Умеренный</w:t>
            </w:r>
          </w:p>
        </w:tc>
        <w:tc>
          <w:tcPr>
            <w:tcW w:w="958" w:type="dxa"/>
            <w:tcBorders>
              <w:top w:val="single" w:sz="4" w:space="0" w:color="auto"/>
              <w:left w:val="single" w:sz="4" w:space="0" w:color="auto"/>
              <w:bottom w:val="single" w:sz="4" w:space="0" w:color="auto"/>
              <w:right w:val="single" w:sz="4" w:space="0" w:color="auto"/>
            </w:tcBorders>
            <w:shd w:val="clear" w:color="auto" w:fill="FFFFFF"/>
            <w:hideMark/>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Calibri" w:eastAsia="Calibri" w:hAnsi="Calibri" w:cs="Times New Roman"/>
                <w:noProof/>
                <w:sz w:val="20"/>
                <w:szCs w:val="20"/>
                <w:lang w:eastAsia="ru-RU"/>
              </w:rPr>
              <mc:AlternateContent>
                <mc:Choice Requires="wps">
                  <w:drawing>
                    <wp:anchor distT="0" distB="0" distL="114300" distR="114300" simplePos="0" relativeHeight="251673600" behindDoc="0" locked="0" layoutInCell="1" allowOverlap="1" wp14:anchorId="05D462C5" wp14:editId="3FDDCAA7">
                      <wp:simplePos x="0" y="0"/>
                      <wp:positionH relativeFrom="column">
                        <wp:posOffset>86995</wp:posOffset>
                      </wp:positionH>
                      <wp:positionV relativeFrom="paragraph">
                        <wp:posOffset>19050</wp:posOffset>
                      </wp:positionV>
                      <wp:extent cx="159385" cy="163830"/>
                      <wp:effectExtent l="0" t="0" r="12065" b="26670"/>
                      <wp:wrapNone/>
                      <wp:docPr id="52" name="Овал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9385" cy="163830"/>
                              </a:xfrm>
                              <a:prstGeom prst="ellipse">
                                <a:avLst/>
                              </a:prstGeom>
                              <a:solidFill>
                                <a:srgbClr val="9BBB59"/>
                              </a:solidFill>
                              <a:ln w="25400" cap="flat" cmpd="sng" algn="ctr">
                                <a:solidFill>
                                  <a:srgbClr val="9BBB59">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1A492A" id="Овал 52" o:spid="_x0000_s1026" style="position:absolute;margin-left:6.85pt;margin-top:1.5pt;width:12.55pt;height:12.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" fillcolor="#9bbb59" strokecolor="#71893f" strokeweight="2pt">
                      <v:path arrowok="t"/>
                    </v:oval>
                  </w:pict>
                </mc:Fallback>
              </mc:AlternateContent>
            </w:r>
          </w:p>
        </w:tc>
        <w:tc>
          <w:tcPr>
            <w:tcW w:w="6503" w:type="dxa"/>
            <w:tcBorders>
              <w:top w:val="single" w:sz="4" w:space="0" w:color="auto"/>
              <w:left w:val="single" w:sz="4" w:space="0" w:color="auto"/>
              <w:bottom w:val="single" w:sz="4" w:space="0" w:color="auto"/>
              <w:right w:val="single" w:sz="4" w:space="0" w:color="auto"/>
            </w:tcBorders>
            <w:shd w:val="clear" w:color="auto" w:fill="FFFFFF"/>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Не оказывающий существенного негативного влияния на показатели финансово-хозяйственной деятельности, но требующий непрерывного мониторинга для своевременного выявления возможного роста уровня существенности риска.</w:t>
            </w:r>
          </w:p>
        </w:tc>
      </w:tr>
    </w:tbl>
    <w:p w:rsidR="00B9098F" w:rsidRPr="00B369F9" w:rsidRDefault="00B9098F" w:rsidP="00B9098F">
      <w:pPr>
        <w:spacing w:after="0" w:line="240" w:lineRule="auto"/>
        <w:jc w:val="both"/>
        <w:rPr>
          <w:rFonts w:ascii="Times New Roman" w:eastAsia="Times New Roman" w:hAnsi="Times New Roman" w:cs="Times New Roman"/>
          <w:sz w:val="24"/>
          <w:szCs w:val="24"/>
          <w:lang w:eastAsia="ru-RU"/>
        </w:rPr>
      </w:pPr>
    </w:p>
    <w:p w:rsidR="00B9098F" w:rsidRPr="00B369F9" w:rsidRDefault="00B9098F" w:rsidP="00B9098F">
      <w:pPr>
        <w:spacing w:after="0" w:line="240" w:lineRule="auto"/>
        <w:ind w:firstLine="709"/>
        <w:jc w:val="center"/>
        <w:rPr>
          <w:rFonts w:ascii="Times New Roman" w:eastAsia="Calibri" w:hAnsi="Times New Roman" w:cs="Times New Roman"/>
          <w:b/>
          <w:sz w:val="24"/>
          <w:szCs w:val="24"/>
          <w:lang w:eastAsia="ru-RU"/>
        </w:rPr>
      </w:pPr>
      <w:r w:rsidRPr="00B369F9">
        <w:rPr>
          <w:rFonts w:ascii="Times New Roman" w:eastAsia="Calibri" w:hAnsi="Times New Roman" w:cs="Times New Roman"/>
          <w:b/>
          <w:sz w:val="24"/>
          <w:szCs w:val="24"/>
          <w:lang w:eastAsia="ru-RU"/>
        </w:rPr>
        <w:t xml:space="preserve">Оценка значимости рисков </w:t>
      </w:r>
    </w:p>
    <w:tbl>
      <w:tblPr>
        <w:tblpPr w:leftFromText="180" w:rightFromText="180" w:vertAnchor="text" w:tblpX="-323" w:tblpY="1"/>
        <w:tblOverlap w:val="neve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2375"/>
        <w:gridCol w:w="3261"/>
        <w:gridCol w:w="2444"/>
        <w:gridCol w:w="1276"/>
      </w:tblGrid>
      <w:tr w:rsidR="00B9098F" w:rsidRPr="00296BE1" w:rsidTr="00E04827">
        <w:trPr>
          <w:tblHeader/>
        </w:trPr>
        <w:tc>
          <w:tcPr>
            <w:tcW w:w="568" w:type="dxa"/>
            <w:shd w:val="clear" w:color="auto" w:fill="C6D9F1"/>
            <w:vAlign w:val="center"/>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п/п</w:t>
            </w:r>
          </w:p>
        </w:tc>
        <w:tc>
          <w:tcPr>
            <w:tcW w:w="2375" w:type="dxa"/>
            <w:shd w:val="clear" w:color="auto" w:fill="C6D9F1"/>
            <w:vAlign w:val="center"/>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Наименование риска</w:t>
            </w:r>
          </w:p>
        </w:tc>
        <w:tc>
          <w:tcPr>
            <w:tcW w:w="3261" w:type="dxa"/>
            <w:shd w:val="clear" w:color="auto" w:fill="C6D9F1"/>
            <w:vAlign w:val="center"/>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Описание риска</w:t>
            </w:r>
          </w:p>
        </w:tc>
        <w:tc>
          <w:tcPr>
            <w:tcW w:w="2444" w:type="dxa"/>
            <w:shd w:val="clear" w:color="auto" w:fill="C6D9F1"/>
            <w:vAlign w:val="center"/>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Мероприятия по минимизации последствий риска</w:t>
            </w:r>
          </w:p>
        </w:tc>
        <w:tc>
          <w:tcPr>
            <w:tcW w:w="1276" w:type="dxa"/>
            <w:shd w:val="clear" w:color="auto" w:fill="C6D9F1"/>
            <w:vAlign w:val="center"/>
          </w:tcPr>
          <w:p w:rsidR="00B9098F" w:rsidRPr="00296BE1" w:rsidRDefault="00B9098F" w:rsidP="00E04827">
            <w:pPr>
              <w:spacing w:after="0" w:line="240" w:lineRule="auto"/>
              <w:jc w:val="center"/>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Оценка значимости риска </w:t>
            </w: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
                <w:sz w:val="20"/>
                <w:szCs w:val="20"/>
                <w:lang w:eastAsia="ru-RU"/>
              </w:rPr>
              <w:t>Отраслевые риски:</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Тарифные риски</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Проводимая государством политика тарифного регулирования учитывает необходимость сдерживания инфляции и предусматривает изменение регулируемых тарифов сетевых организаций в 2023 году ниже индекса фактической инфляции при опережающем росте цен на оптовом рынке, что обуславливает риск установления регулирующими органами тарифного меню, не обеспечивающего собираемость экономически обоснованной выручки</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Calibri" w:hAnsi="Times New Roman" w:cs="Times New Roman"/>
                <w:sz w:val="20"/>
                <w:szCs w:val="20"/>
                <w:lang w:eastAsia="ru-RU"/>
              </w:rPr>
              <w:t>В целях минимизации указанных факторов риска Общество проводит сбалансированную политику по повышению эффективности инвестиционной и операционной деятельности, направленную на сокращение расходов и оптимальное планирование структуры источников финансирования деятельности</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w:drawing>
                <wp:inline distT="0" distB="0" distL="0" distR="0" wp14:anchorId="3AB42D27" wp14:editId="2D350BC2">
                  <wp:extent cx="292735" cy="304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735" cy="304800"/>
                          </a:xfrm>
                          <a:prstGeom prst="rect">
                            <a:avLst/>
                          </a:prstGeom>
                          <a:noFill/>
                        </pic:spPr>
                      </pic:pic>
                    </a:graphicData>
                  </a:graphic>
                </wp:inline>
              </w:drawing>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2</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снижения объема услуг по передаче электрической энергии</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обусловлен возможностью снижения спроса на электрическую энергию и оптимизацией крупными потребителями схем внешнего электроснабжения</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В целях минимизации риска Общества, ориентируясь на макроэкономическую статистику и поведение крупных потребителей, принимает меры к повышению достоверности прогнозирования объема услуг по передаче электрической энергии, используемого для целей ценообразования и бизнес-планирования</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tabs>
                <w:tab w:val="left" w:pos="689"/>
              </w:tabs>
              <w:spacing w:after="0" w:line="240" w:lineRule="auto"/>
              <w:rPr>
                <w:rFonts w:ascii="Times New Roman" w:eastAsia="Times New Roman" w:hAnsi="Times New Roman" w:cs="Times New Roman"/>
                <w:noProof/>
                <w:sz w:val="20"/>
                <w:szCs w:val="20"/>
                <w:lang w:eastAsia="ru-RU"/>
              </w:rPr>
            </w:pPr>
            <w:r w:rsidRPr="00296BE1">
              <w:rPr>
                <w:rFonts w:ascii="Times New Roman" w:eastAsia="Times New Roman" w:hAnsi="Times New Roman" w:cs="Times New Roman"/>
                <w:noProof/>
                <w:sz w:val="20"/>
                <w:szCs w:val="20"/>
                <w:lang w:eastAsia="ru-RU"/>
              </w:rPr>
              <w:drawing>
                <wp:inline distT="0" distB="0" distL="0" distR="0" wp14:anchorId="6710DC1A" wp14:editId="0CD8CE5B">
                  <wp:extent cx="326003" cy="326003"/>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B9098F" w:rsidRPr="00296BE1" w:rsidRDefault="00B9098F" w:rsidP="00E04827">
            <w:pPr>
              <w:tabs>
                <w:tab w:val="left" w:pos="689"/>
              </w:tabs>
              <w:spacing w:after="0" w:line="240" w:lineRule="auto"/>
              <w:rPr>
                <w:rFonts w:ascii="Times New Roman" w:eastAsia="Times New Roman" w:hAnsi="Times New Roman" w:cs="Times New Roman"/>
                <w:noProof/>
                <w:sz w:val="20"/>
                <w:szCs w:val="20"/>
                <w:lang w:eastAsia="ru-RU"/>
              </w:rPr>
            </w:pPr>
          </w:p>
          <w:p w:rsidR="00B9098F" w:rsidRPr="00296BE1" w:rsidRDefault="00B9098F" w:rsidP="00E04827">
            <w:pPr>
              <w:tabs>
                <w:tab w:val="left" w:pos="689"/>
              </w:tabs>
              <w:spacing w:after="0" w:line="240" w:lineRule="auto"/>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ab/>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3</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Риски, связанные с предоставлением услуг технологического </w:t>
            </w:r>
            <w:r w:rsidRPr="00296BE1">
              <w:rPr>
                <w:rFonts w:ascii="Times New Roman" w:eastAsia="Times New Roman" w:hAnsi="Times New Roman" w:cs="Times New Roman"/>
                <w:sz w:val="20"/>
                <w:szCs w:val="20"/>
                <w:lang w:eastAsia="ru-RU"/>
              </w:rPr>
              <w:lastRenderedPageBreak/>
              <w:t>присоединения заявителям</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lastRenderedPageBreak/>
              <w:t xml:space="preserve">Риски обусловлены возможным возникновением дефицита источника финансирования мероприятий по выполнению </w:t>
            </w:r>
            <w:r w:rsidRPr="00296BE1">
              <w:rPr>
                <w:rFonts w:ascii="Times New Roman" w:eastAsia="Times New Roman" w:hAnsi="Times New Roman" w:cs="Times New Roman"/>
                <w:sz w:val="20"/>
                <w:szCs w:val="20"/>
                <w:lang w:eastAsia="ru-RU"/>
              </w:rPr>
              <w:lastRenderedPageBreak/>
              <w:t>договоров об осуществлении технологического присоединения; неисполнением со стороны заявителей обязательств по договорам об осуществлении технологического присоединения; неиспользованием заявителями мощности, полученной при технологическом присоединении. Вследствие влияния данных факторов возможно снижение выручки Общества от технологического присоединения</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Calibri" w:hAnsi="Times New Roman" w:cs="Times New Roman"/>
                <w:sz w:val="20"/>
                <w:szCs w:val="20"/>
                <w:lang w:eastAsia="ru-RU"/>
              </w:rPr>
              <w:lastRenderedPageBreak/>
              <w:t xml:space="preserve">Общество осуществляет разъяснительную работу процесса оказания услуг по технологическому </w:t>
            </w:r>
            <w:r w:rsidRPr="00296BE1">
              <w:rPr>
                <w:rFonts w:ascii="Times New Roman" w:eastAsia="Calibri" w:hAnsi="Times New Roman" w:cs="Times New Roman"/>
                <w:sz w:val="20"/>
                <w:szCs w:val="20"/>
                <w:lang w:eastAsia="ru-RU"/>
              </w:rPr>
              <w:lastRenderedPageBreak/>
              <w:t>присоединению среди потребителей, в том числе с публичным размещением информации об оказании услуг и созданием Центров обслуживания клиентов, а также проводятся мероприятия по повышению доступности процедуры технологического присоединения</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lastRenderedPageBreak/>
              <w:t xml:space="preserve">          </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            </w:t>
            </w: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747124AA" wp14:editId="33988306">
                      <wp:simplePos x="0" y="0"/>
                      <wp:positionH relativeFrom="column">
                        <wp:posOffset>95582</wp:posOffset>
                      </wp:positionH>
                      <wp:positionV relativeFrom="paragraph">
                        <wp:posOffset>53975</wp:posOffset>
                      </wp:positionV>
                      <wp:extent cx="269875" cy="278130"/>
                      <wp:effectExtent l="0" t="0" r="15875" b="26670"/>
                      <wp:wrapNone/>
                      <wp:docPr id="14"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0EF27E" id="Овал 14" o:spid="_x0000_s1026" style="position:absolute;margin-left:7.55pt;margin-top:4.25pt;width:21.25pt;height:21.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" fillcolor="#ffc000" strokecolor="#b66d31" strokeweight="2pt">
                      <v:path arrowok="t"/>
                    </v:oval>
                  </w:pict>
                </mc:Fallback>
              </mc:AlternateContent>
            </w:r>
            <w:r w:rsidRPr="00296BE1">
              <w:rPr>
                <w:rFonts w:ascii="Times New Roman" w:eastAsia="Times New Roman" w:hAnsi="Times New Roman" w:cs="Times New Roman"/>
                <w:noProof/>
                <w:sz w:val="20"/>
                <w:szCs w:val="20"/>
                <w:lang w:eastAsia="ru-RU"/>
              </w:rPr>
              <w:t xml:space="preserve">         </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lastRenderedPageBreak/>
              <w:t>4</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связанный с неплатежами за оказанные услуги по передаче электрической энергии (возникновением оспариваемой и неоспариваемой просроченной дебиторской задолженности) со стороны потребителей услуг</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обусловлен недостаточностью существующих механизмов стимулирования потребителей услуг к своевременным расчетам за услуги по передаче электроэнергии, а также влиянием макроэкономических факторов (снижение платежеспособности потребителей)</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Calibri" w:hAnsi="Times New Roman" w:cs="Times New Roman"/>
                <w:sz w:val="20"/>
                <w:szCs w:val="20"/>
                <w:lang w:eastAsia="ru-RU"/>
              </w:rPr>
              <w:t>Общество проводит комплекс мероприятий по снижению дебиторской задолженности: рассылку потребителям уведомлений и претензий, взыскание задолженности в судебном порядке, привлечение государственных и правоохранительных органов к взысканию задолженности, реструктуризация задолженности</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7CE73AFE" wp14:editId="4DCF1CDB">
                      <wp:simplePos x="0" y="0"/>
                      <wp:positionH relativeFrom="column">
                        <wp:posOffset>25511</wp:posOffset>
                      </wp:positionH>
                      <wp:positionV relativeFrom="paragraph">
                        <wp:posOffset>78105</wp:posOffset>
                      </wp:positionV>
                      <wp:extent cx="269875" cy="278130"/>
                      <wp:effectExtent l="0" t="0" r="15875" b="26670"/>
                      <wp:wrapNone/>
                      <wp:docPr id="10" name="Овал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txbx>
                              <w:txbxContent>
                                <w:p w:rsidR="00B9098F" w:rsidRDefault="00B9098F" w:rsidP="00B9098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E73AFE" id="Овал 10" o:spid="_x0000_s1026" style="position:absolute;left:0;text-align:left;margin-left:2pt;margin-top:6.15pt;width:21.25pt;height:21.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" fillcolor="#ffc000" strokecolor="#b66d31" strokeweight="2pt">
                      <v:path arrowok="t"/>
                      <v:textbox>
                        <w:txbxContent>
                          <w:p w:rsidR="00B9098F" w:rsidRDefault="00B9098F" w:rsidP="00B9098F">
                            <w:pPr>
                              <w:jc w:val="center"/>
                            </w:pPr>
                          </w:p>
                        </w:txbxContent>
                      </v:textbox>
                    </v:oval>
                  </w:pict>
                </mc:Fallback>
              </mc:AlternateContent>
            </w:r>
          </w:p>
        </w:tc>
      </w:tr>
      <w:tr w:rsidR="00B9098F" w:rsidRPr="00296BE1" w:rsidTr="00E04827">
        <w:tc>
          <w:tcPr>
            <w:tcW w:w="9924" w:type="dxa"/>
            <w:gridSpan w:val="5"/>
            <w:shd w:val="clear" w:color="auto" w:fill="DAEEF3"/>
          </w:tcPr>
          <w:p w:rsidR="00B9098F" w:rsidRPr="00296BE1" w:rsidRDefault="00B9098F" w:rsidP="00E04827">
            <w:pPr>
              <w:spacing w:after="0" w:line="240" w:lineRule="auto"/>
              <w:rPr>
                <w:rFonts w:ascii="Times New Roman" w:eastAsia="Times New Roman" w:hAnsi="Times New Roman" w:cs="Times New Roman"/>
                <w:b/>
                <w:sz w:val="20"/>
                <w:szCs w:val="20"/>
                <w:lang w:eastAsia="ru-RU"/>
              </w:rPr>
            </w:pPr>
            <w:r w:rsidRPr="00296BE1">
              <w:rPr>
                <w:rFonts w:ascii="Times New Roman" w:eastAsia="Times New Roman" w:hAnsi="Times New Roman" w:cs="Times New Roman"/>
                <w:b/>
                <w:sz w:val="20"/>
                <w:szCs w:val="20"/>
                <w:lang w:eastAsia="ru-RU"/>
              </w:rPr>
              <w:t>Страновые и региональные риски:</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5</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политической и экономической ситуацией в стране и регионе</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обусловлены снижением экономической активности субъекта Российской Федерации в регионе присутствия, увеличением стоимости кредитных средств, что в свою очередь может быть вызвано нестабильностью внешних условий, международными санкциями, снижением кредитных рейтингов и ростом инфляционной нагрузки. Влияние данных факторов может привести к  сокращению выручки Общества, его акционерной стоимости.</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Расширение возможностей доступа малых и средних предприятий  к закупкам, осуществляемым в соответствии с Федеральным законом «О закупках товаров, работ, услуг отдельными видами юридических лиц» с целью импортозамещения сырья и оборудования</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1312" behindDoc="0" locked="0" layoutInCell="1" allowOverlap="1" wp14:anchorId="1D92DDB2" wp14:editId="264FAADD">
                      <wp:simplePos x="0" y="0"/>
                      <wp:positionH relativeFrom="column">
                        <wp:posOffset>-3175</wp:posOffset>
                      </wp:positionH>
                      <wp:positionV relativeFrom="paragraph">
                        <wp:posOffset>314960</wp:posOffset>
                      </wp:positionV>
                      <wp:extent cx="269875" cy="278130"/>
                      <wp:effectExtent l="0" t="0" r="15875" b="26670"/>
                      <wp:wrapNone/>
                      <wp:docPr id="12" name="Овал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E043FE" id="Овал 12" o:spid="_x0000_s1026" style="position:absolute;margin-left:-.25pt;margin-top:24.8pt;width:21.25pt;height:21.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" fillcolor="#ffc000" strokecolor="#b66d31" strokeweight="2pt">
                      <v:path arrowok="t"/>
                    </v:oval>
                  </w:pict>
                </mc:Fallback>
              </mc:AlternateConten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6</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возможными конфликтами и их проявлениями, введением чрезвычайного положения и забастовками в регионах</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обусловлены возможными актами незаконного вмешательства в деятельность, включая террористические акты, в том числе представителями международного терроризма, а также националистическими элементами отдельных государств. Такие действия могут оказать негативное влияние на деятельность Общества.</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Подразделением безопасности осуществляется предотвращение неправомерных действий работников Общества и третьих лиц в отношении активов Общества путем сбора, анализа и оценки оперативной информации, выработки мер по предупреждению и пресечению возможных внутренних и внешних угроз экономической безопасности; а также посредством участия в специальных </w:t>
            </w:r>
            <w:r w:rsidRPr="00296BE1">
              <w:rPr>
                <w:rFonts w:ascii="Times New Roman" w:eastAsia="Times New Roman" w:hAnsi="Times New Roman" w:cs="Times New Roman"/>
                <w:sz w:val="20"/>
                <w:szCs w:val="20"/>
                <w:lang w:eastAsia="ru-RU"/>
              </w:rPr>
              <w:lastRenderedPageBreak/>
              <w:t>(служебных) расследованиях по фактам злоупотреблений (мошенничества), причинения ущерба, нецелевого, неэффективного использования ресурсов.</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В целях предотвращения коррупционных проявлений подразделением безопасности осуществляются контрольные мероприятия:</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в отношении сотрудников, непосредственно задействованных в сборе выручки от потребителей электроэнергии;</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по осуществлению мер предупреждения, выявления и устранения причин и условий, порождающих коррупцию;</w:t>
            </w: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 по предупреждению фактов ненадлежащего начисления и получения оплаты стоимости электроэнергии. </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w:lastRenderedPageBreak/>
              <mc:AlternateContent>
                <mc:Choice Requires="wps">
                  <w:drawing>
                    <wp:anchor distT="0" distB="0" distL="114300" distR="114300" simplePos="0" relativeHeight="251667456" behindDoc="0" locked="0" layoutInCell="1" allowOverlap="1" wp14:anchorId="595AB8C6" wp14:editId="086F71A1">
                      <wp:simplePos x="0" y="0"/>
                      <wp:positionH relativeFrom="column">
                        <wp:posOffset>27940</wp:posOffset>
                      </wp:positionH>
                      <wp:positionV relativeFrom="paragraph">
                        <wp:posOffset>513715</wp:posOffset>
                      </wp:positionV>
                      <wp:extent cx="269875" cy="278130"/>
                      <wp:effectExtent l="0" t="0" r="15875" b="26670"/>
                      <wp:wrapNone/>
                      <wp:docPr id="30" name="Овал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9C252E6" id="Овал 30" o:spid="_x0000_s1026" style="position:absolute;margin-left:2.2pt;margin-top:40.45pt;width:21.25pt;height:21.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" fillcolor="#ffc000" strokecolor="#b66d31" strokeweight="2pt">
                      <v:path arrowok="t"/>
                    </v:oval>
                  </w:pict>
                </mc:Fallback>
              </mc:AlternateConten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7</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географическими особенностями страны или региона, в т.ч. повышенная опасность стихийных бедствий, возможное прекращение транспортного сообщения</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обусловлены чрезвычайными ситуациями природного и климатического характера (воздействие ураганов, ливневых дождей, паводков и наводнений, снеговых завалов, обледенений, нарушение электроснабжения в результате пожаров, бытовых взрывов и т.п.). В результате может быть прервано электроснабжение, транспортное сообщение в регионе.</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Calibri" w:hAnsi="Times New Roman" w:cs="Times New Roman"/>
                <w:sz w:val="20"/>
                <w:szCs w:val="20"/>
                <w:lang w:eastAsia="ru-RU"/>
              </w:rPr>
              <w:t>В целях минимизации последствий риска группой ГО и ЧС формируется план действий, направленный на повышение готовности к ликвидации ЧС: порядок оповещения, порядок закупки и выдачи аварийно-спасательных средств.</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r w:rsidRPr="00296BE1">
              <w:rPr>
                <w:rFonts w:ascii="Times New Roman" w:eastAsia="Times New Roman" w:hAnsi="Times New Roman" w:cs="Times New Roman"/>
                <w:noProof/>
                <w:sz w:val="20"/>
                <w:szCs w:val="20"/>
                <w:lang w:eastAsia="ru-RU"/>
              </w:rPr>
              <w:drawing>
                <wp:inline distT="0" distB="0" distL="0" distR="0" wp14:anchorId="3666DDF8" wp14:editId="235E3A94">
                  <wp:extent cx="326003" cy="32600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
                <w:sz w:val="20"/>
                <w:szCs w:val="20"/>
                <w:lang w:eastAsia="ru-RU"/>
              </w:rPr>
              <w:t>Финансовые риски:</w:t>
            </w:r>
          </w:p>
        </w:tc>
      </w:tr>
      <w:tr w:rsidR="00B9098F" w:rsidRPr="00296BE1" w:rsidTr="00E04827">
        <w:trPr>
          <w:trHeight w:val="3194"/>
        </w:trPr>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8</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изменениями валютных курсов</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Негативное влияние на результаты финансово-хозяйственной деятельности Общества вследствие изменения обменных курсов валют.</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Cs/>
                <w:iCs/>
                <w:sz w:val="20"/>
                <w:szCs w:val="20"/>
                <w:lang w:eastAsia="ru-RU"/>
              </w:rPr>
              <w:t>Общество не осуществляет деятельности на внешнем рынке. Все обязательства Общества выражены в национальной валюте Российской Федерации. В этой связи изменения валютных курсов не затрагивают деятельность Общества и, следовательно, не влекут за собой существенных рисков.</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r w:rsidRPr="00296BE1">
              <w:rPr>
                <w:rFonts w:ascii="Times New Roman" w:eastAsia="Times New Roman" w:hAnsi="Times New Roman" w:cs="Times New Roman"/>
                <w:noProof/>
                <w:sz w:val="20"/>
                <w:szCs w:val="20"/>
                <w:lang w:eastAsia="ru-RU"/>
              </w:rPr>
              <w:drawing>
                <wp:inline distT="0" distB="0" distL="0" distR="0" wp14:anchorId="70F9FE2E" wp14:editId="41991050">
                  <wp:extent cx="326003" cy="32600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3268" cy="323268"/>
                          </a:xfrm>
                          <a:prstGeom prst="rect">
                            <a:avLst/>
                          </a:prstGeom>
                          <a:noFill/>
                        </pic:spPr>
                      </pic:pic>
                    </a:graphicData>
                  </a:graphic>
                </wp:inline>
              </w:drawing>
            </w: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tc>
      </w:tr>
      <w:tr w:rsidR="00B9098F" w:rsidRPr="00296BE1" w:rsidTr="00E04827">
        <w:trPr>
          <w:trHeight w:val="3209"/>
        </w:trPr>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lastRenderedPageBreak/>
              <w:t>9</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изменениями процентных ставок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Влияние на возможный рост затрат Общества по привлечению заемных средств для финансирования инвестиционных программ.</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Cs/>
                <w:iCs/>
                <w:sz w:val="20"/>
                <w:szCs w:val="20"/>
                <w:lang w:eastAsia="ru-RU"/>
              </w:rPr>
              <w:t>Для осуществления своей деятельности Общество может привлекать заемные средства в качестве источников финансирования хозяйственной деятельности, в связи с чем оно может быть подвержено риску увеличения процентных ставок по заемным средствам. Риски этой группы оцениваются как значимые.</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70528" behindDoc="0" locked="0" layoutInCell="1" allowOverlap="1" wp14:anchorId="2813B298" wp14:editId="16B7296B">
                      <wp:simplePos x="0" y="0"/>
                      <wp:positionH relativeFrom="column">
                        <wp:posOffset>-3810</wp:posOffset>
                      </wp:positionH>
                      <wp:positionV relativeFrom="paragraph">
                        <wp:posOffset>14935</wp:posOffset>
                      </wp:positionV>
                      <wp:extent cx="269875" cy="278130"/>
                      <wp:effectExtent l="0" t="0" r="15875" b="26670"/>
                      <wp:wrapNone/>
                      <wp:docPr id="11" name="Овал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5ED82C" id="Овал 11" o:spid="_x0000_s1026" style="position:absolute;margin-left:-.3pt;margin-top:1.2pt;width:21.25pt;height:21.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" fillcolor="#ffc000" strokecolor="#b66d31" strokeweight="2pt">
                      <v:path arrowok="t"/>
                    </v:oval>
                  </w:pict>
                </mc:Fallback>
              </mc:AlternateContent>
            </w: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noProof/>
                <w:sz w:val="20"/>
                <w:szCs w:val="20"/>
                <w:lang w:eastAsia="ru-RU"/>
              </w:rPr>
            </w:pPr>
          </w:p>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p>
        </w:tc>
      </w:tr>
      <w:tr w:rsidR="00B9098F" w:rsidRPr="00296BE1" w:rsidTr="00E04827">
        <w:trPr>
          <w:trHeight w:val="1131"/>
        </w:trPr>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10</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влиянием инфляции</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Влияние роста индекса потребительских цен на размер процентных расходов, уровень затрат, уровень рентабельности, и, как следствие, на финансовое состояние и возможность выполнения обязательств Обществом.</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Calibri" w:hAnsi="Times New Roman" w:cs="Times New Roman"/>
                <w:sz w:val="20"/>
                <w:szCs w:val="20"/>
                <w:lang w:eastAsia="ru-RU"/>
              </w:rPr>
              <w:t>Общество проводит взвешенную финансовую политику, уделяя особое внимание существующим договорным отношениям с покупателями с целью сокращения объемов дебиторской задолженности. В случае существенного роста инфляции Общество намерено повышать эффективность деятельности путём снижения операционных издержек и увеличения оборачиваемости активов.</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2336" behindDoc="0" locked="0" layoutInCell="1" allowOverlap="1" wp14:anchorId="0BBCAA31" wp14:editId="5FD9D5BE">
                      <wp:simplePos x="0" y="0"/>
                      <wp:positionH relativeFrom="column">
                        <wp:posOffset>54610</wp:posOffset>
                      </wp:positionH>
                      <wp:positionV relativeFrom="paragraph">
                        <wp:posOffset>302895</wp:posOffset>
                      </wp:positionV>
                      <wp:extent cx="269875" cy="278130"/>
                      <wp:effectExtent l="0" t="0" r="15875" b="26670"/>
                      <wp:wrapNone/>
                      <wp:docPr id="23" name="Овал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C85709" id="Овал 23" o:spid="_x0000_s1026" style="position:absolute;margin-left:4.3pt;margin-top:23.85pt;width:21.25pt;height:21.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0WRiw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" fillcolor="#ffc000" strokecolor="#b66d31" strokeweight="2pt">
                      <v:path arrowok="t"/>
                    </v:oval>
                  </w:pict>
                </mc:Fallback>
              </mc:AlternateContent>
            </w: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
                <w:sz w:val="20"/>
                <w:szCs w:val="20"/>
                <w:lang w:eastAsia="ru-RU"/>
              </w:rPr>
              <w:t>Правовые риски:</w:t>
            </w:r>
          </w:p>
        </w:tc>
      </w:tr>
      <w:tr w:rsidR="00B9098F" w:rsidRPr="00296BE1" w:rsidTr="00E04827">
        <w:trPr>
          <w:trHeight w:val="6090"/>
        </w:trPr>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11</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Правовые риски</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изменением законодательства, судебной практики по вопросам деятельности Общества, баланса интересов с другими субъектами электроэнергетики</w:t>
            </w:r>
          </w:p>
        </w:tc>
        <w:tc>
          <w:tcPr>
            <w:tcW w:w="2444" w:type="dxa"/>
            <w:shd w:val="clear" w:color="auto" w:fill="auto"/>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Обществом осуществляется мониторинг изменений законодательства, типизация заключаемых договоров, учредительных и внутренних документов Общества в соответствие с нормами законодательства;  проведение предварительной юридической экспертизы проектов заключаемых договоров; постоянное совершенствование квалификации как сотрудников правовых подразделений, так и повышение правовой грамотности  сотрудников иных профильных подразделений</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4384" behindDoc="0" locked="0" layoutInCell="1" allowOverlap="1" wp14:anchorId="42E9BFDA" wp14:editId="1C71E244">
                      <wp:simplePos x="0" y="0"/>
                      <wp:positionH relativeFrom="column">
                        <wp:posOffset>140418</wp:posOffset>
                      </wp:positionH>
                      <wp:positionV relativeFrom="paragraph">
                        <wp:posOffset>404357</wp:posOffset>
                      </wp:positionV>
                      <wp:extent cx="269875" cy="278130"/>
                      <wp:effectExtent l="0" t="0" r="15875" b="26670"/>
                      <wp:wrapNone/>
                      <wp:docPr id="27" name="Овал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19DF35" id="Овал 27" o:spid="_x0000_s1026" style="position:absolute;margin-left:11.05pt;margin-top:31.85pt;width:21.25pt;height:2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" fillcolor="#ffc000" strokecolor="#b66d31" strokeweight="2pt">
                      <v:path arrowok="t"/>
                    </v:oval>
                  </w:pict>
                </mc:Fallback>
              </mc:AlternateConten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lastRenderedPageBreak/>
              <w:t>12</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Комплаенс-риск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Риски, связанные с санкциями регулирующих органов в связи с возможным несоответствием деятельности Общества требованиям законодательства, локальным нормативным актам, иным обязательным для исполнения регулирующим документам.</w:t>
            </w:r>
          </w:p>
        </w:tc>
        <w:tc>
          <w:tcPr>
            <w:tcW w:w="2444" w:type="dxa"/>
            <w:shd w:val="clear" w:color="auto" w:fill="auto"/>
          </w:tcPr>
          <w:p w:rsidR="00B9098F" w:rsidRPr="00296BE1" w:rsidRDefault="00B9098F" w:rsidP="00E04827">
            <w:pPr>
              <w:spacing w:after="0" w:line="240" w:lineRule="auto"/>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Обществом осуществляются следующие мероприятия по управлению риском:</w:t>
            </w:r>
          </w:p>
          <w:p w:rsidR="00B9098F" w:rsidRPr="00296BE1" w:rsidRDefault="00B9098F" w:rsidP="00E04827">
            <w:pPr>
              <w:spacing w:after="0" w:line="240" w:lineRule="auto"/>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1. Недопущение наличия в нормативных документах Общества положений, позволяющих совершать коррупционные действия.</w:t>
            </w:r>
          </w:p>
          <w:p w:rsidR="00B9098F" w:rsidRPr="00296BE1" w:rsidRDefault="00B9098F" w:rsidP="00E04827">
            <w:pPr>
              <w:spacing w:after="0" w:line="240" w:lineRule="auto"/>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2. Экспертиза принимаемых в Обществе локальных нормативных актов и ОРД на предмет отсутствия в них положений, создающих предпосылки для вовлечения в мошеннические или коррупционные действия, и отражения в них соответствующих упреждающих мер.</w:t>
            </w:r>
          </w:p>
          <w:p w:rsidR="00B9098F" w:rsidRPr="00296BE1" w:rsidRDefault="00B9098F" w:rsidP="00E04827">
            <w:pPr>
              <w:spacing w:after="0" w:line="240" w:lineRule="auto"/>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3. Разработка и внедрение в Обществе локальных нормативных актов и организационных процедур по противодействию мошенничеству и коррупции. Советом директоров Общества утверждена и реализовывается Антикоррупционная политика ПАО «Россети» и ДЗО ПАО «Россети»</w:t>
            </w:r>
          </w:p>
          <w:p w:rsidR="00B9098F" w:rsidRPr="00296BE1" w:rsidRDefault="00B9098F" w:rsidP="00E04827">
            <w:pPr>
              <w:spacing w:after="0" w:line="240" w:lineRule="auto"/>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4.Требование соблюдения всеми работниками Общества нормативных документов.</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8480" behindDoc="0" locked="0" layoutInCell="1" allowOverlap="1" wp14:anchorId="58021CE6" wp14:editId="641B875B">
                      <wp:simplePos x="0" y="0"/>
                      <wp:positionH relativeFrom="column">
                        <wp:posOffset>57150</wp:posOffset>
                      </wp:positionH>
                      <wp:positionV relativeFrom="paragraph">
                        <wp:posOffset>420370</wp:posOffset>
                      </wp:positionV>
                      <wp:extent cx="269875" cy="278130"/>
                      <wp:effectExtent l="0" t="0" r="15875" b="26670"/>
                      <wp:wrapNone/>
                      <wp:docPr id="35" name="Овал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886161" id="Овал 35" o:spid="_x0000_s1026" style="position:absolute;margin-left:4.5pt;margin-top:33.1pt;width:21.25pt;height:21.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" fillcolor="#ffc000" strokecolor="#b66d31" strokeweight="2pt">
                      <v:path arrowok="t"/>
                    </v:oval>
                  </w:pict>
                </mc:Fallback>
              </mc:AlternateContent>
            </w: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
                <w:sz w:val="20"/>
                <w:szCs w:val="20"/>
                <w:lang w:eastAsia="ru-RU"/>
              </w:rPr>
              <w:t>Риск потери деловой репутации</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13</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Репутационный риск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связан с возможным неисполнением в полном объеме обязательств по отношению к клиентам и контрагентам.</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С клиентами и контрагентами Общества проводятся переговоры и работа по реструктуризации долгов, путем заключения мировых соглашений и выплат векселями.</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9504" behindDoc="0" locked="0" layoutInCell="1" allowOverlap="1" wp14:anchorId="0F24AC2B" wp14:editId="0CED95A3">
                      <wp:simplePos x="0" y="0"/>
                      <wp:positionH relativeFrom="column">
                        <wp:posOffset>49530</wp:posOffset>
                      </wp:positionH>
                      <wp:positionV relativeFrom="paragraph">
                        <wp:posOffset>210820</wp:posOffset>
                      </wp:positionV>
                      <wp:extent cx="269875" cy="278130"/>
                      <wp:effectExtent l="0" t="0" r="15875" b="26670"/>
                      <wp:wrapNone/>
                      <wp:docPr id="37" name="Овал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D94FAD" id="Овал 37" o:spid="_x0000_s1026" style="position:absolute;margin-left:3.9pt;margin-top:16.6pt;width:21.25pt;height:21.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" fillcolor="#ffc000" strokecolor="#b66d31" strokeweight="2pt">
                      <v:path arrowok="t"/>
                    </v:oval>
                  </w:pict>
                </mc:Fallback>
              </mc:AlternateContent>
            </w: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b/>
                <w:sz w:val="20"/>
                <w:szCs w:val="20"/>
                <w:lang w:eastAsia="ru-RU"/>
              </w:rPr>
            </w:pPr>
            <w:r w:rsidRPr="00296BE1">
              <w:rPr>
                <w:rFonts w:ascii="Times New Roman" w:eastAsia="Times New Roman" w:hAnsi="Times New Roman" w:cs="Times New Roman"/>
                <w:b/>
                <w:sz w:val="20"/>
                <w:szCs w:val="20"/>
                <w:lang w:eastAsia="ru-RU"/>
              </w:rPr>
              <w:t>Стратегический риск</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14</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Стратегический риск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Риск не достижения стратегических целей и задач Общества в связи с потенциальными изменениями внутренней и внешней среды функционирования Общества.</w:t>
            </w:r>
          </w:p>
        </w:tc>
        <w:tc>
          <w:tcPr>
            <w:tcW w:w="2444" w:type="dxa"/>
            <w:shd w:val="clear" w:color="auto" w:fill="auto"/>
          </w:tcPr>
          <w:p w:rsidR="00B9098F" w:rsidRPr="00296BE1" w:rsidRDefault="00B9098F" w:rsidP="00E04827">
            <w:pPr>
              <w:spacing w:after="0" w:line="240" w:lineRule="auto"/>
              <w:jc w:val="both"/>
              <w:rPr>
                <w:rFonts w:ascii="Times New Roman" w:eastAsia="Calibri" w:hAnsi="Times New Roman" w:cs="Times New Roman"/>
                <w:sz w:val="20"/>
                <w:szCs w:val="20"/>
                <w:lang w:eastAsia="ru-RU"/>
              </w:rPr>
            </w:pPr>
            <w:r w:rsidRPr="00296BE1">
              <w:rPr>
                <w:rFonts w:ascii="Times New Roman" w:eastAsia="Calibri" w:hAnsi="Times New Roman" w:cs="Times New Roman"/>
                <w:sz w:val="20"/>
                <w:szCs w:val="20"/>
                <w:lang w:eastAsia="ru-RU"/>
              </w:rPr>
              <w:t xml:space="preserve">В целях минимизации стратегического риска Общество выстраивает свою деятельность в соответствии с документами стратегического </w:t>
            </w:r>
            <w:r w:rsidRPr="00296BE1">
              <w:rPr>
                <w:rFonts w:ascii="Times New Roman" w:eastAsia="Calibri" w:hAnsi="Times New Roman" w:cs="Times New Roman"/>
                <w:sz w:val="20"/>
                <w:szCs w:val="20"/>
                <w:lang w:eastAsia="ru-RU"/>
              </w:rPr>
              <w:lastRenderedPageBreak/>
              <w:t xml:space="preserve">характера группы компаний «Россети». </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w:lastRenderedPageBreak/>
              <mc:AlternateContent>
                <mc:Choice Requires="wps">
                  <w:drawing>
                    <wp:anchor distT="0" distB="0" distL="114300" distR="114300" simplePos="0" relativeHeight="251665408" behindDoc="0" locked="0" layoutInCell="1" allowOverlap="1" wp14:anchorId="1192418B" wp14:editId="32E9353B">
                      <wp:simplePos x="0" y="0"/>
                      <wp:positionH relativeFrom="column">
                        <wp:posOffset>41275</wp:posOffset>
                      </wp:positionH>
                      <wp:positionV relativeFrom="paragraph">
                        <wp:posOffset>234315</wp:posOffset>
                      </wp:positionV>
                      <wp:extent cx="269875" cy="278130"/>
                      <wp:effectExtent l="0" t="0" r="15875" b="26670"/>
                      <wp:wrapNone/>
                      <wp:docPr id="17" name="Овал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FC7F0D" id="Овал 17" o:spid="_x0000_s1026" style="position:absolute;margin-left:3.25pt;margin-top:18.45pt;width:21.25pt;height:21.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" fillcolor="#ffc000" strokecolor="#b66d31" strokeweight="2pt">
                      <v:path arrowok="t"/>
                    </v:oval>
                  </w:pict>
                </mc:Fallback>
              </mc:AlternateContent>
            </w:r>
          </w:p>
        </w:tc>
      </w:tr>
      <w:tr w:rsidR="00B9098F" w:rsidRPr="00296BE1" w:rsidTr="00E04827">
        <w:tc>
          <w:tcPr>
            <w:tcW w:w="9924" w:type="dxa"/>
            <w:gridSpan w:val="5"/>
            <w:shd w:val="clear" w:color="auto" w:fill="DAEEF3"/>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b/>
                <w:sz w:val="20"/>
                <w:szCs w:val="20"/>
                <w:lang w:eastAsia="ru-RU"/>
              </w:rPr>
              <w:t>Риски, связанные с деятельностью Общества:</w:t>
            </w:r>
          </w:p>
        </w:tc>
      </w:tr>
      <w:tr w:rsidR="00B9098F" w:rsidRPr="00296BE1" w:rsidTr="00E04827">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15</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Операционно-технологический риск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Снижение надежности энергоснабжения потребителей, обусловленное такими факторами как аварийные ситуации природного и техногенного характера, приводящие к нарушению работоспособности электросетевого оборудования; высокая доля оборудования со сверхнормативным сроком службы; невыполнение нормативно-технических требований в части превышения установленных допустимых значений технологических параметров эксплуатации электросетевого оборудования.</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Для минимизации данного риска в Обществе выполняются работы в соответствии с утвержденным Планом эксплуатации и ТОиР , проводится работа с оперативным персоналом (повышение квалификации, обучение, тренинги)</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6432" behindDoc="0" locked="0" layoutInCell="1" allowOverlap="1" wp14:anchorId="37ABFA11" wp14:editId="5BA52BA6">
                      <wp:simplePos x="0" y="0"/>
                      <wp:positionH relativeFrom="column">
                        <wp:posOffset>81915</wp:posOffset>
                      </wp:positionH>
                      <wp:positionV relativeFrom="paragraph">
                        <wp:posOffset>316230</wp:posOffset>
                      </wp:positionV>
                      <wp:extent cx="269875" cy="278130"/>
                      <wp:effectExtent l="0" t="0" r="15875" b="26670"/>
                      <wp:wrapNone/>
                      <wp:docPr id="20" name="Овал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D76CA2" id="Овал 20" o:spid="_x0000_s1026" style="position:absolute;margin-left:6.45pt;margin-top:24.9pt;width:21.25pt;height:21.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" fillcolor="#ffc000" strokecolor="#b66d31" strokeweight="2pt">
                      <v:path arrowok="t"/>
                    </v:oval>
                  </w:pict>
                </mc:Fallback>
              </mc:AlternateContent>
            </w:r>
          </w:p>
        </w:tc>
      </w:tr>
      <w:tr w:rsidR="00B9098F" w:rsidRPr="00296BE1" w:rsidTr="00E04827">
        <w:trPr>
          <w:trHeight w:val="3565"/>
        </w:trPr>
        <w:tc>
          <w:tcPr>
            <w:tcW w:w="568"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16</w:t>
            </w:r>
          </w:p>
        </w:tc>
        <w:tc>
          <w:tcPr>
            <w:tcW w:w="2375"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Инвестиционный риск</w:t>
            </w:r>
          </w:p>
        </w:tc>
        <w:tc>
          <w:tcPr>
            <w:tcW w:w="3261"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Сокращение источников финансирования инвестиционных программ Общества в случае ухудшения его финансово-экономического состояния и, как следствие, снижение тарифной выручки при невыполнении инвестиционных программ. Нарушение плановых сроков ввода объектов инвестиционных программ в эксплуатацию по причинам неисполнения/ несвоевременного исполнения подрядчиками и поставщиками своих обязательств.</w:t>
            </w:r>
          </w:p>
        </w:tc>
        <w:tc>
          <w:tcPr>
            <w:tcW w:w="2444"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sz w:val="20"/>
                <w:szCs w:val="20"/>
                <w:lang w:eastAsia="ru-RU"/>
              </w:rPr>
              <w:t xml:space="preserve">Для минимизации данного риска в Обществе разработана инвестиционная программа на 2023-2027 гг., также осуществляется строительный контроль при реализации мероприятий инвестиционной программы для предотвращения срыва сроков исполнения подрядчиками и поставщиками своих обязательств. </w:t>
            </w:r>
          </w:p>
        </w:tc>
        <w:tc>
          <w:tcPr>
            <w:tcW w:w="1276" w:type="dxa"/>
            <w:shd w:val="clear" w:color="auto" w:fill="auto"/>
          </w:tcPr>
          <w:p w:rsidR="00B9098F" w:rsidRPr="00296BE1" w:rsidRDefault="00B9098F" w:rsidP="00E04827">
            <w:pPr>
              <w:spacing w:after="0" w:line="240" w:lineRule="auto"/>
              <w:jc w:val="both"/>
              <w:rPr>
                <w:rFonts w:ascii="Times New Roman" w:eastAsia="Times New Roman" w:hAnsi="Times New Roman" w:cs="Times New Roman"/>
                <w:sz w:val="20"/>
                <w:szCs w:val="20"/>
                <w:lang w:eastAsia="ru-RU"/>
              </w:rPr>
            </w:pPr>
            <w:r w:rsidRPr="00296BE1">
              <w:rPr>
                <w:rFonts w:ascii="Times New Roman" w:eastAsia="Times New Roman" w:hAnsi="Times New Roman" w:cs="Times New Roman"/>
                <w:noProof/>
                <w:sz w:val="20"/>
                <w:szCs w:val="20"/>
                <w:lang w:eastAsia="ru-RU"/>
              </w:rPr>
              <mc:AlternateContent>
                <mc:Choice Requires="wps">
                  <w:drawing>
                    <wp:anchor distT="0" distB="0" distL="114300" distR="114300" simplePos="0" relativeHeight="251663360" behindDoc="0" locked="0" layoutInCell="1" allowOverlap="1" wp14:anchorId="6A887876" wp14:editId="10823C0F">
                      <wp:simplePos x="0" y="0"/>
                      <wp:positionH relativeFrom="column">
                        <wp:posOffset>-8890</wp:posOffset>
                      </wp:positionH>
                      <wp:positionV relativeFrom="paragraph">
                        <wp:posOffset>172720</wp:posOffset>
                      </wp:positionV>
                      <wp:extent cx="269875" cy="278130"/>
                      <wp:effectExtent l="0" t="0" r="15875" b="26670"/>
                      <wp:wrapNone/>
                      <wp:docPr id="25" name="Овал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9875" cy="278130"/>
                              </a:xfrm>
                              <a:prstGeom prst="ellipse">
                                <a:avLst/>
                              </a:prstGeom>
                              <a:solidFill>
                                <a:srgbClr val="FFC000"/>
                              </a:solidFill>
                              <a:ln w="25400" cap="flat" cmpd="sng" algn="ctr">
                                <a:solidFill>
                                  <a:srgbClr val="F79646">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47C3CCE" id="Овал 25" o:spid="_x0000_s1026" style="position:absolute;margin-left:-.7pt;margin-top:13.6pt;width:21.25pt;height:21.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" fillcolor="#ffc000" strokecolor="#b66d31" strokeweight="2pt">
                      <v:path arrowok="t"/>
                    </v:oval>
                  </w:pict>
                </mc:Fallback>
              </mc:AlternateContent>
            </w:r>
          </w:p>
        </w:tc>
      </w:tr>
    </w:tbl>
    <w:p w:rsidR="00B9098F" w:rsidRPr="00B369F9" w:rsidRDefault="00B9098F" w:rsidP="00B9098F">
      <w:pPr>
        <w:spacing w:after="0" w:line="240" w:lineRule="auto"/>
        <w:jc w:val="center"/>
        <w:rPr>
          <w:rFonts w:ascii="Calibri" w:eastAsia="Calibri" w:hAnsi="Calibri" w:cs="Times New Roman"/>
          <w:sz w:val="24"/>
          <w:szCs w:val="24"/>
          <w:lang w:eastAsia="ru-RU"/>
        </w:rPr>
      </w:pPr>
    </w:p>
    <w:p w:rsidR="00B9098F" w:rsidRPr="00B369F9" w:rsidRDefault="00B9098F" w:rsidP="00B9098F">
      <w:pPr>
        <w:spacing w:after="0" w:line="240" w:lineRule="auto"/>
        <w:jc w:val="center"/>
        <w:rPr>
          <w:rFonts w:ascii="Times New Roman" w:eastAsia="Calibri" w:hAnsi="Times New Roman" w:cs="Times New Roman"/>
          <w:b/>
          <w:sz w:val="24"/>
          <w:szCs w:val="24"/>
          <w:lang w:eastAsia="ru-RU"/>
        </w:rPr>
      </w:pPr>
      <w:r w:rsidRPr="00B369F9">
        <w:rPr>
          <w:rFonts w:ascii="Times New Roman" w:eastAsia="Calibri" w:hAnsi="Times New Roman" w:cs="Times New Roman"/>
          <w:b/>
          <w:sz w:val="24"/>
          <w:szCs w:val="24"/>
          <w:lang w:eastAsia="ru-RU"/>
        </w:rPr>
        <w:t>Карта (радар) ключевых рисков Общества</w:t>
      </w:r>
    </w:p>
    <w:p w:rsidR="00B9098F" w:rsidRPr="00B369F9" w:rsidRDefault="00B9098F" w:rsidP="00B9098F">
      <w:pPr>
        <w:spacing w:after="0" w:line="240" w:lineRule="auto"/>
        <w:ind w:right="-142"/>
        <w:contextualSpacing/>
        <w:jc w:val="both"/>
        <w:rPr>
          <w:rFonts w:ascii="Times New Roman" w:eastAsia="Times New Roman" w:hAnsi="Times New Roman" w:cs="Times New Roman"/>
          <w:sz w:val="24"/>
          <w:szCs w:val="24"/>
          <w:lang w:eastAsia="ru-RU"/>
        </w:rPr>
      </w:pPr>
      <w:r w:rsidRPr="00B369F9">
        <w:rPr>
          <w:rFonts w:ascii="Calibri" w:eastAsia="Calibri" w:hAnsi="Calibri" w:cs="Times New Roman"/>
          <w:noProof/>
          <w:sz w:val="24"/>
          <w:szCs w:val="24"/>
          <w:lang w:eastAsia="ru-RU"/>
        </w:rPr>
        <w:drawing>
          <wp:inline distT="0" distB="0" distL="0" distR="0" wp14:anchorId="6F46C238" wp14:editId="0895D615">
            <wp:extent cx="5939790" cy="3077154"/>
            <wp:effectExtent l="0" t="0" r="3810" b="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B9098F" w:rsidRDefault="00B9098F" w:rsidP="005B2B61">
      <w:pPr>
        <w:pStyle w:val="1"/>
        <w:ind w:firstLine="709"/>
      </w:pPr>
    </w:p>
    <w:p w:rsidR="003F39BC" w:rsidRPr="00B369F9" w:rsidRDefault="00FE0474" w:rsidP="005B2B61">
      <w:pPr>
        <w:pStyle w:val="1"/>
        <w:ind w:firstLine="709"/>
        <w:rPr>
          <w:b w:val="0"/>
          <w:bCs w:val="0"/>
        </w:rPr>
      </w:pPr>
      <w:bookmarkStart w:id="13" w:name="_Toc163738859"/>
      <w:r w:rsidRPr="00B369F9">
        <w:t>Результаты деятельности за 2023</w:t>
      </w:r>
      <w:r w:rsidR="003F39BC" w:rsidRPr="00B369F9">
        <w:t xml:space="preserve"> год</w:t>
      </w:r>
      <w:bookmarkEnd w:id="13"/>
    </w:p>
    <w:bookmarkEnd w:id="11"/>
    <w:p w:rsidR="008F42B8" w:rsidRPr="00B369F9" w:rsidRDefault="008F42B8" w:rsidP="007C7C02">
      <w:pPr>
        <w:pStyle w:val="2"/>
        <w:ind w:right="-143" w:firstLine="709"/>
        <w:rPr>
          <w:sz w:val="24"/>
        </w:rPr>
      </w:pPr>
    </w:p>
    <w:p w:rsidR="003F39BC" w:rsidRPr="00B369F9" w:rsidRDefault="003F39BC" w:rsidP="005B2B61">
      <w:pPr>
        <w:pStyle w:val="1"/>
        <w:ind w:firstLine="709"/>
      </w:pPr>
      <w:bookmarkStart w:id="14" w:name="_Toc163738860"/>
      <w:r w:rsidRPr="00B369F9">
        <w:t>Операционные результаты</w:t>
      </w:r>
      <w:bookmarkEnd w:id="14"/>
    </w:p>
    <w:p w:rsidR="00155576" w:rsidRPr="00B369F9" w:rsidRDefault="00155576" w:rsidP="007C7C02">
      <w:pPr>
        <w:tabs>
          <w:tab w:val="left" w:pos="993"/>
        </w:tabs>
        <w:spacing w:after="0" w:line="240" w:lineRule="auto"/>
        <w:ind w:firstLine="709"/>
        <w:jc w:val="both"/>
        <w:rPr>
          <w:rFonts w:ascii="Times New Roman" w:hAnsi="Times New Roman" w:cs="Times New Roman"/>
          <w:sz w:val="24"/>
          <w:szCs w:val="24"/>
        </w:rPr>
      </w:pP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4106"/>
        <w:gridCol w:w="1134"/>
        <w:gridCol w:w="1588"/>
      </w:tblGrid>
      <w:tr w:rsidR="00A1745F" w:rsidRPr="00A12F59" w:rsidTr="00B9098F">
        <w:trPr>
          <w:trHeight w:val="298"/>
          <w:jc w:val="center"/>
        </w:trPr>
        <w:tc>
          <w:tcPr>
            <w:tcW w:w="2126" w:type="dxa"/>
            <w:vMerge w:val="restart"/>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r w:rsidRPr="00A12F59">
              <w:rPr>
                <w:rFonts w:ascii="Times New Roman" w:eastAsia="Times New Roman" w:hAnsi="Times New Roman" w:cs="Times New Roman"/>
                <w:b/>
                <w:sz w:val="20"/>
                <w:szCs w:val="20"/>
                <w:lang w:eastAsia="ru-RU"/>
              </w:rPr>
              <w:t>Отпуск электрической энергии в сеть, млн кВт</w:t>
            </w:r>
            <w:r w:rsidR="009C1818" w:rsidRPr="00A12F59">
              <w:rPr>
                <w:rFonts w:ascii="Times New Roman" w:eastAsia="Times New Roman" w:hAnsi="Times New Roman" w:cs="Times New Roman"/>
                <w:b/>
                <w:sz w:val="20"/>
                <w:szCs w:val="20"/>
                <w:lang w:eastAsia="ru-RU"/>
              </w:rPr>
              <w:t>∙</w:t>
            </w:r>
            <w:r w:rsidRPr="00A12F59">
              <w:rPr>
                <w:rFonts w:ascii="Times New Roman" w:eastAsia="Times New Roman" w:hAnsi="Times New Roman" w:cs="Times New Roman"/>
                <w:b/>
                <w:sz w:val="20"/>
                <w:szCs w:val="20"/>
                <w:lang w:eastAsia="ru-RU"/>
              </w:rPr>
              <w:t>ч</w:t>
            </w:r>
          </w:p>
        </w:tc>
        <w:tc>
          <w:tcPr>
            <w:tcW w:w="4106" w:type="dxa"/>
            <w:vMerge w:val="restart"/>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r w:rsidRPr="00A12F59">
              <w:rPr>
                <w:rFonts w:ascii="Times New Roman" w:eastAsia="Times New Roman" w:hAnsi="Times New Roman" w:cs="Times New Roman"/>
                <w:b/>
                <w:sz w:val="20"/>
                <w:szCs w:val="20"/>
                <w:lang w:eastAsia="ru-RU"/>
              </w:rPr>
              <w:t>Отпуск электрической энергии из сети потребителям и смежным ТСО в границах балансовой и эксплуатационной ответственности, млн кВт∙ч</w:t>
            </w:r>
          </w:p>
        </w:tc>
        <w:tc>
          <w:tcPr>
            <w:tcW w:w="2722" w:type="dxa"/>
            <w:gridSpan w:val="2"/>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r w:rsidRPr="00A12F59">
              <w:rPr>
                <w:rFonts w:ascii="Times New Roman" w:eastAsia="Times New Roman" w:hAnsi="Times New Roman" w:cs="Times New Roman"/>
                <w:b/>
                <w:sz w:val="20"/>
                <w:szCs w:val="20"/>
                <w:lang w:eastAsia="ru-RU"/>
              </w:rPr>
              <w:t>Потери</w:t>
            </w:r>
          </w:p>
        </w:tc>
      </w:tr>
      <w:tr w:rsidR="00A1745F" w:rsidRPr="00A12F59" w:rsidTr="00B9098F">
        <w:trPr>
          <w:trHeight w:val="297"/>
          <w:jc w:val="center"/>
        </w:trPr>
        <w:tc>
          <w:tcPr>
            <w:tcW w:w="2126" w:type="dxa"/>
            <w:vMerge/>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p>
        </w:tc>
        <w:tc>
          <w:tcPr>
            <w:tcW w:w="4106" w:type="dxa"/>
            <w:vMerge/>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p>
        </w:tc>
        <w:tc>
          <w:tcPr>
            <w:tcW w:w="1134" w:type="dxa"/>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r w:rsidRPr="00A12F59">
              <w:rPr>
                <w:rFonts w:ascii="Times New Roman" w:eastAsia="Times New Roman" w:hAnsi="Times New Roman" w:cs="Times New Roman"/>
                <w:b/>
                <w:sz w:val="20"/>
                <w:szCs w:val="20"/>
                <w:lang w:eastAsia="ru-RU"/>
              </w:rPr>
              <w:t>млн кВт</w:t>
            </w:r>
            <w:r w:rsidR="009C1818" w:rsidRPr="00A12F59">
              <w:rPr>
                <w:rFonts w:ascii="Times New Roman" w:eastAsia="Times New Roman" w:hAnsi="Times New Roman" w:cs="Times New Roman"/>
                <w:b/>
                <w:sz w:val="20"/>
                <w:szCs w:val="20"/>
                <w:lang w:eastAsia="ru-RU"/>
              </w:rPr>
              <w:t>∙</w:t>
            </w:r>
            <w:r w:rsidRPr="00A12F59">
              <w:rPr>
                <w:rFonts w:ascii="Times New Roman" w:eastAsia="Times New Roman" w:hAnsi="Times New Roman" w:cs="Times New Roman"/>
                <w:b/>
                <w:sz w:val="20"/>
                <w:szCs w:val="20"/>
                <w:lang w:eastAsia="ru-RU"/>
              </w:rPr>
              <w:t>ч</w:t>
            </w:r>
          </w:p>
        </w:tc>
        <w:tc>
          <w:tcPr>
            <w:tcW w:w="1588" w:type="dxa"/>
            <w:shd w:val="clear" w:color="auto" w:fill="auto"/>
            <w:vAlign w:val="center"/>
          </w:tcPr>
          <w:p w:rsidR="00A1745F" w:rsidRPr="00A12F59" w:rsidRDefault="00A1745F" w:rsidP="001E299B">
            <w:pPr>
              <w:spacing w:after="0" w:line="240" w:lineRule="auto"/>
              <w:jc w:val="center"/>
              <w:rPr>
                <w:rFonts w:ascii="Times New Roman" w:eastAsia="Times New Roman" w:hAnsi="Times New Roman" w:cs="Times New Roman"/>
                <w:b/>
                <w:sz w:val="20"/>
                <w:szCs w:val="20"/>
                <w:lang w:eastAsia="ru-RU"/>
              </w:rPr>
            </w:pPr>
            <w:r w:rsidRPr="00A12F59">
              <w:rPr>
                <w:rFonts w:ascii="Times New Roman" w:eastAsia="Times New Roman" w:hAnsi="Times New Roman" w:cs="Times New Roman"/>
                <w:b/>
                <w:sz w:val="20"/>
                <w:szCs w:val="20"/>
                <w:lang w:eastAsia="ru-RU"/>
              </w:rPr>
              <w:t>%</w:t>
            </w:r>
          </w:p>
        </w:tc>
      </w:tr>
      <w:tr w:rsidR="00A1745F" w:rsidRPr="00A12F59" w:rsidTr="00B9098F">
        <w:trPr>
          <w:trHeight w:val="289"/>
          <w:jc w:val="center"/>
        </w:trPr>
        <w:tc>
          <w:tcPr>
            <w:tcW w:w="2126" w:type="dxa"/>
            <w:shd w:val="clear" w:color="auto" w:fill="auto"/>
            <w:vAlign w:val="center"/>
          </w:tcPr>
          <w:p w:rsidR="00A1745F" w:rsidRPr="00A12F59" w:rsidRDefault="00A1745F" w:rsidP="001E299B">
            <w:pPr>
              <w:jc w:val="center"/>
              <w:rPr>
                <w:rFonts w:ascii="Times New Roman" w:hAnsi="Times New Roman" w:cs="Times New Roman"/>
                <w:color w:val="000000"/>
                <w:sz w:val="20"/>
                <w:szCs w:val="20"/>
              </w:rPr>
            </w:pPr>
            <w:r w:rsidRPr="00A12F59">
              <w:rPr>
                <w:rFonts w:ascii="Times New Roman" w:hAnsi="Times New Roman" w:cs="Times New Roman"/>
                <w:color w:val="000000"/>
                <w:sz w:val="20"/>
                <w:szCs w:val="20"/>
              </w:rPr>
              <w:t>3 330</w:t>
            </w:r>
          </w:p>
        </w:tc>
        <w:tc>
          <w:tcPr>
            <w:tcW w:w="4106" w:type="dxa"/>
            <w:shd w:val="clear" w:color="auto" w:fill="auto"/>
            <w:vAlign w:val="center"/>
          </w:tcPr>
          <w:p w:rsidR="00A1745F" w:rsidRPr="00A12F59" w:rsidRDefault="00A1745F" w:rsidP="001E299B">
            <w:pPr>
              <w:jc w:val="center"/>
              <w:rPr>
                <w:rFonts w:ascii="Times New Roman" w:hAnsi="Times New Roman" w:cs="Times New Roman"/>
                <w:color w:val="000000"/>
                <w:sz w:val="20"/>
                <w:szCs w:val="20"/>
              </w:rPr>
            </w:pPr>
            <w:r w:rsidRPr="00A12F59">
              <w:rPr>
                <w:rFonts w:ascii="Times New Roman" w:hAnsi="Times New Roman" w:cs="Times New Roman"/>
                <w:color w:val="000000"/>
                <w:sz w:val="20"/>
                <w:szCs w:val="20"/>
              </w:rPr>
              <w:t>2 156</w:t>
            </w:r>
          </w:p>
        </w:tc>
        <w:tc>
          <w:tcPr>
            <w:tcW w:w="1134" w:type="dxa"/>
            <w:shd w:val="clear" w:color="auto" w:fill="auto"/>
            <w:vAlign w:val="center"/>
          </w:tcPr>
          <w:p w:rsidR="00A1745F" w:rsidRPr="00A12F59" w:rsidRDefault="00A1745F" w:rsidP="001E299B">
            <w:pPr>
              <w:jc w:val="center"/>
              <w:rPr>
                <w:rFonts w:ascii="Times New Roman" w:hAnsi="Times New Roman" w:cs="Times New Roman"/>
                <w:color w:val="000000"/>
                <w:sz w:val="20"/>
                <w:szCs w:val="20"/>
              </w:rPr>
            </w:pPr>
            <w:r w:rsidRPr="00A12F59">
              <w:rPr>
                <w:rFonts w:ascii="Times New Roman" w:hAnsi="Times New Roman" w:cs="Times New Roman"/>
                <w:color w:val="000000"/>
                <w:sz w:val="20"/>
                <w:szCs w:val="20"/>
              </w:rPr>
              <w:t>1 174</w:t>
            </w:r>
          </w:p>
        </w:tc>
        <w:tc>
          <w:tcPr>
            <w:tcW w:w="1588" w:type="dxa"/>
            <w:shd w:val="clear" w:color="auto" w:fill="auto"/>
            <w:vAlign w:val="center"/>
          </w:tcPr>
          <w:p w:rsidR="00A1745F" w:rsidRPr="00A12F59" w:rsidRDefault="00A1745F" w:rsidP="001E299B">
            <w:pPr>
              <w:jc w:val="center"/>
              <w:rPr>
                <w:rFonts w:ascii="Times New Roman" w:hAnsi="Times New Roman" w:cs="Times New Roman"/>
                <w:color w:val="000000"/>
                <w:sz w:val="20"/>
                <w:szCs w:val="20"/>
              </w:rPr>
            </w:pPr>
            <w:r w:rsidRPr="00A12F59">
              <w:rPr>
                <w:rFonts w:ascii="Times New Roman" w:hAnsi="Times New Roman" w:cs="Times New Roman"/>
                <w:color w:val="000000"/>
                <w:sz w:val="20"/>
                <w:szCs w:val="20"/>
              </w:rPr>
              <w:t>35,26</w:t>
            </w:r>
          </w:p>
        </w:tc>
      </w:tr>
    </w:tbl>
    <w:p w:rsidR="00A1745F" w:rsidRPr="00B369F9" w:rsidRDefault="00A1745F" w:rsidP="007C7C02">
      <w:pPr>
        <w:tabs>
          <w:tab w:val="left" w:pos="993"/>
        </w:tabs>
        <w:spacing w:after="0" w:line="240" w:lineRule="auto"/>
        <w:ind w:firstLine="709"/>
        <w:jc w:val="both"/>
        <w:rPr>
          <w:rFonts w:ascii="Times New Roman" w:hAnsi="Times New Roman" w:cs="Times New Roman"/>
          <w:sz w:val="24"/>
          <w:szCs w:val="24"/>
        </w:rPr>
      </w:pPr>
    </w:p>
    <w:p w:rsidR="00A1745F" w:rsidRPr="00B369F9" w:rsidRDefault="00A1745F" w:rsidP="00A1745F">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По итогам работы Общества в 2023 году объем отпуска электрической энергии из сети потребителям и смежным ТСО в границах балансовой и эксплуатационной ответственности составил 2 156 млн кВт∙ч, что в сравнении с показателями 2022 года (2</w:t>
      </w:r>
      <w:r w:rsidR="00A91E5F">
        <w:rPr>
          <w:rFonts w:ascii="Times New Roman" w:hAnsi="Times New Roman" w:cs="Times New Roman"/>
          <w:sz w:val="24"/>
          <w:szCs w:val="24"/>
        </w:rPr>
        <w:t> </w:t>
      </w:r>
      <w:r w:rsidRPr="00B369F9">
        <w:rPr>
          <w:rFonts w:ascii="Times New Roman" w:hAnsi="Times New Roman" w:cs="Times New Roman"/>
          <w:sz w:val="24"/>
          <w:szCs w:val="24"/>
        </w:rPr>
        <w:t>165</w:t>
      </w:r>
      <w:r w:rsidR="00A91E5F">
        <w:rPr>
          <w:rFonts w:ascii="Times New Roman" w:hAnsi="Times New Roman" w:cs="Times New Roman"/>
          <w:sz w:val="24"/>
          <w:szCs w:val="24"/>
        </w:rPr>
        <w:t xml:space="preserve"> </w:t>
      </w:r>
      <w:r w:rsidRPr="00B369F9">
        <w:rPr>
          <w:rFonts w:ascii="Times New Roman" w:hAnsi="Times New Roman" w:cs="Times New Roman"/>
          <w:sz w:val="24"/>
          <w:szCs w:val="24"/>
        </w:rPr>
        <w:t>млн кВт∙ч) на 10 млн кВт∙ч, или 0,44 % меньше.</w:t>
      </w:r>
    </w:p>
    <w:p w:rsidR="00A1745F" w:rsidRPr="00B369F9" w:rsidRDefault="00A1745F" w:rsidP="00A1745F">
      <w:pPr>
        <w:spacing w:after="0" w:line="240" w:lineRule="auto"/>
        <w:ind w:firstLine="709"/>
        <w:jc w:val="both"/>
        <w:rPr>
          <w:rFonts w:ascii="Times New Roman" w:hAnsi="Times New Roman" w:cs="Times New Roman"/>
          <w:sz w:val="24"/>
          <w:szCs w:val="24"/>
        </w:rPr>
      </w:pPr>
    </w:p>
    <w:p w:rsidR="00A1745F" w:rsidRPr="00B369F9" w:rsidRDefault="00A1745F" w:rsidP="00A1745F">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Фактические потери электрической энергии в 2022-2023 годах</w:t>
      </w:r>
    </w:p>
    <w:tbl>
      <w:tblPr>
        <w:tblW w:w="34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853"/>
        <w:gridCol w:w="1275"/>
        <w:gridCol w:w="852"/>
        <w:gridCol w:w="1275"/>
        <w:gridCol w:w="850"/>
      </w:tblGrid>
      <w:tr w:rsidR="00A1745F" w:rsidRPr="00A12F59" w:rsidTr="007F6F65">
        <w:trPr>
          <w:trHeight w:val="330"/>
          <w:jc w:val="center"/>
        </w:trPr>
        <w:tc>
          <w:tcPr>
            <w:tcW w:w="5000" w:type="pct"/>
            <w:gridSpan w:val="6"/>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Потери электрической энергии</w:t>
            </w:r>
          </w:p>
        </w:tc>
      </w:tr>
      <w:tr w:rsidR="00A1745F" w:rsidRPr="00A12F59" w:rsidTr="007F6F65">
        <w:trPr>
          <w:trHeight w:val="330"/>
          <w:jc w:val="center"/>
        </w:trPr>
        <w:tc>
          <w:tcPr>
            <w:tcW w:w="1665" w:type="pct"/>
            <w:gridSpan w:val="2"/>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Факт 2022 год</w:t>
            </w:r>
          </w:p>
        </w:tc>
        <w:tc>
          <w:tcPr>
            <w:tcW w:w="1668" w:type="pct"/>
            <w:gridSpan w:val="2"/>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Факт 2023 год</w:t>
            </w:r>
          </w:p>
        </w:tc>
        <w:tc>
          <w:tcPr>
            <w:tcW w:w="1667" w:type="pct"/>
            <w:gridSpan w:val="2"/>
            <w:shd w:val="clear" w:color="auto" w:fill="auto"/>
            <w:vAlign w:val="center"/>
            <w:hideMark/>
          </w:tcPr>
          <w:p w:rsidR="00A1745F" w:rsidRPr="00A12F59" w:rsidRDefault="007F6F65"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Изменение</w:t>
            </w:r>
          </w:p>
        </w:tc>
      </w:tr>
      <w:tr w:rsidR="00A1745F" w:rsidRPr="00A12F59" w:rsidTr="007F6F65">
        <w:trPr>
          <w:trHeight w:val="330"/>
          <w:jc w:val="center"/>
        </w:trPr>
        <w:tc>
          <w:tcPr>
            <w:tcW w:w="996"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млн кВт</w:t>
            </w:r>
            <w:r w:rsidRPr="00A12F59">
              <w:rPr>
                <w:rFonts w:ascii="Times New Roman" w:eastAsia="Times New Roman" w:hAnsi="Times New Roman" w:cs="Times New Roman"/>
                <w:b/>
                <w:sz w:val="20"/>
                <w:szCs w:val="20"/>
                <w:lang w:eastAsia="ru-RU"/>
              </w:rPr>
              <w:t>∙</w:t>
            </w:r>
            <w:r w:rsidRPr="00A12F59">
              <w:rPr>
                <w:rFonts w:ascii="Times New Roman" w:eastAsia="Times New Roman" w:hAnsi="Times New Roman" w:cs="Times New Roman"/>
                <w:b/>
                <w:color w:val="000000"/>
                <w:sz w:val="20"/>
                <w:szCs w:val="20"/>
                <w:lang w:eastAsia="ru-RU"/>
              </w:rPr>
              <w:t>ч</w:t>
            </w:r>
          </w:p>
        </w:tc>
        <w:tc>
          <w:tcPr>
            <w:tcW w:w="668"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w:t>
            </w:r>
          </w:p>
        </w:tc>
        <w:tc>
          <w:tcPr>
            <w:tcW w:w="1000"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млн кВт</w:t>
            </w:r>
            <w:r w:rsidRPr="00A12F59">
              <w:rPr>
                <w:rFonts w:ascii="Times New Roman" w:eastAsia="Times New Roman" w:hAnsi="Times New Roman" w:cs="Times New Roman"/>
                <w:b/>
                <w:sz w:val="20"/>
                <w:szCs w:val="20"/>
                <w:lang w:eastAsia="ru-RU"/>
              </w:rPr>
              <w:t>∙</w:t>
            </w:r>
            <w:r w:rsidRPr="00A12F59">
              <w:rPr>
                <w:rFonts w:ascii="Times New Roman" w:eastAsia="Times New Roman" w:hAnsi="Times New Roman" w:cs="Times New Roman"/>
                <w:b/>
                <w:color w:val="000000"/>
                <w:sz w:val="20"/>
                <w:szCs w:val="20"/>
                <w:lang w:eastAsia="ru-RU"/>
              </w:rPr>
              <w:t>ч</w:t>
            </w:r>
          </w:p>
        </w:tc>
        <w:tc>
          <w:tcPr>
            <w:tcW w:w="668"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w:t>
            </w:r>
          </w:p>
        </w:tc>
        <w:tc>
          <w:tcPr>
            <w:tcW w:w="1000"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млн кВт</w:t>
            </w:r>
            <w:r w:rsidRPr="00A12F59">
              <w:rPr>
                <w:rFonts w:ascii="Times New Roman" w:eastAsia="Times New Roman" w:hAnsi="Times New Roman" w:cs="Times New Roman"/>
                <w:b/>
                <w:sz w:val="20"/>
                <w:szCs w:val="20"/>
                <w:lang w:eastAsia="ru-RU"/>
              </w:rPr>
              <w:t>∙</w:t>
            </w:r>
            <w:r w:rsidRPr="00A12F59">
              <w:rPr>
                <w:rFonts w:ascii="Times New Roman" w:eastAsia="Times New Roman" w:hAnsi="Times New Roman" w:cs="Times New Roman"/>
                <w:b/>
                <w:color w:val="000000"/>
                <w:sz w:val="20"/>
                <w:szCs w:val="20"/>
                <w:lang w:eastAsia="ru-RU"/>
              </w:rPr>
              <w:t>ч</w:t>
            </w:r>
          </w:p>
        </w:tc>
        <w:tc>
          <w:tcPr>
            <w:tcW w:w="667"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b/>
                <w:color w:val="000000"/>
                <w:sz w:val="20"/>
                <w:szCs w:val="20"/>
                <w:lang w:eastAsia="ru-RU"/>
              </w:rPr>
            </w:pPr>
            <w:r w:rsidRPr="00A12F59">
              <w:rPr>
                <w:rFonts w:ascii="Times New Roman" w:eastAsia="Times New Roman" w:hAnsi="Times New Roman" w:cs="Times New Roman"/>
                <w:b/>
                <w:color w:val="000000"/>
                <w:sz w:val="20"/>
                <w:szCs w:val="20"/>
                <w:lang w:eastAsia="ru-RU"/>
              </w:rPr>
              <w:t>п.п.</w:t>
            </w:r>
          </w:p>
        </w:tc>
      </w:tr>
      <w:tr w:rsidR="00A1745F" w:rsidRPr="00A12F59" w:rsidTr="007F6F65">
        <w:trPr>
          <w:trHeight w:val="330"/>
          <w:jc w:val="center"/>
        </w:trPr>
        <w:tc>
          <w:tcPr>
            <w:tcW w:w="996"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1 042</w:t>
            </w:r>
          </w:p>
        </w:tc>
        <w:tc>
          <w:tcPr>
            <w:tcW w:w="668" w:type="pct"/>
            <w:shd w:val="clear" w:color="auto" w:fill="auto"/>
            <w:vAlign w:val="center"/>
            <w:hideMark/>
          </w:tcPr>
          <w:p w:rsidR="00A1745F" w:rsidRPr="00A12F59" w:rsidRDefault="007F6F65" w:rsidP="001E299B">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32,49</w:t>
            </w:r>
          </w:p>
        </w:tc>
        <w:tc>
          <w:tcPr>
            <w:tcW w:w="1000"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1 174</w:t>
            </w:r>
          </w:p>
        </w:tc>
        <w:tc>
          <w:tcPr>
            <w:tcW w:w="668" w:type="pct"/>
            <w:shd w:val="clear" w:color="auto" w:fill="auto"/>
            <w:vAlign w:val="center"/>
            <w:hideMark/>
          </w:tcPr>
          <w:p w:rsidR="00A1745F" w:rsidRPr="00A12F59" w:rsidRDefault="00A1745F" w:rsidP="007F6F65">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35,26</w:t>
            </w:r>
          </w:p>
        </w:tc>
        <w:tc>
          <w:tcPr>
            <w:tcW w:w="1000"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132</w:t>
            </w:r>
          </w:p>
        </w:tc>
        <w:tc>
          <w:tcPr>
            <w:tcW w:w="667" w:type="pct"/>
            <w:shd w:val="clear" w:color="auto" w:fill="auto"/>
            <w:vAlign w:val="center"/>
            <w:hideMark/>
          </w:tcPr>
          <w:p w:rsidR="00A1745F" w:rsidRPr="00A12F59" w:rsidRDefault="00A1745F" w:rsidP="001E299B">
            <w:pPr>
              <w:spacing w:after="0" w:line="240" w:lineRule="auto"/>
              <w:jc w:val="center"/>
              <w:rPr>
                <w:rFonts w:ascii="Times New Roman" w:eastAsia="Times New Roman" w:hAnsi="Times New Roman" w:cs="Times New Roman"/>
                <w:color w:val="000000"/>
                <w:sz w:val="20"/>
                <w:szCs w:val="20"/>
                <w:lang w:eastAsia="ru-RU"/>
              </w:rPr>
            </w:pPr>
            <w:r w:rsidRPr="00A12F59">
              <w:rPr>
                <w:rFonts w:ascii="Times New Roman" w:eastAsia="Times New Roman" w:hAnsi="Times New Roman" w:cs="Times New Roman"/>
                <w:color w:val="000000"/>
                <w:sz w:val="20"/>
                <w:szCs w:val="20"/>
                <w:lang w:eastAsia="ru-RU"/>
              </w:rPr>
              <w:t>2,77</w:t>
            </w:r>
          </w:p>
        </w:tc>
      </w:tr>
    </w:tbl>
    <w:p w:rsidR="00A1745F" w:rsidRPr="00B369F9" w:rsidRDefault="00A1745F" w:rsidP="00A1745F">
      <w:pPr>
        <w:spacing w:after="0" w:line="240" w:lineRule="auto"/>
        <w:ind w:firstLine="709"/>
        <w:jc w:val="both"/>
        <w:rPr>
          <w:rFonts w:ascii="Times New Roman" w:hAnsi="Times New Roman" w:cs="Times New Roman"/>
          <w:sz w:val="24"/>
          <w:szCs w:val="24"/>
        </w:rPr>
      </w:pPr>
    </w:p>
    <w:p w:rsidR="00C46C1D" w:rsidRPr="00C46C1D" w:rsidRDefault="00C46C1D" w:rsidP="00C46C1D">
      <w:pPr>
        <w:spacing w:after="0" w:line="240" w:lineRule="auto"/>
        <w:ind w:firstLine="709"/>
        <w:jc w:val="both"/>
        <w:rPr>
          <w:rFonts w:ascii="Times New Roman" w:hAnsi="Times New Roman" w:cs="Times New Roman"/>
          <w:sz w:val="24"/>
          <w:szCs w:val="24"/>
        </w:rPr>
      </w:pPr>
      <w:r w:rsidRPr="00C46C1D">
        <w:rPr>
          <w:rFonts w:ascii="Times New Roman" w:hAnsi="Times New Roman" w:cs="Times New Roman"/>
          <w:sz w:val="24"/>
          <w:szCs w:val="24"/>
        </w:rPr>
        <w:t>Фактические потери электрической энергии в электрических сетях Общества составили 1 174 млн кВт∙ч, или 35,26 % от отпуска в сеть. По сравнению с аналогичным периодом предыдущего года при росте отпуска в сеть на 3,81 %, рост потерь электрической энергии составил 132 млн кВт∙ч, или 2,77 процентных пунктов.</w:t>
      </w:r>
    </w:p>
    <w:p w:rsidR="00C46C1D" w:rsidRPr="00C46C1D" w:rsidRDefault="00C46C1D" w:rsidP="00C46C1D">
      <w:pPr>
        <w:spacing w:after="0" w:line="240" w:lineRule="auto"/>
        <w:ind w:firstLine="709"/>
        <w:jc w:val="both"/>
        <w:rPr>
          <w:rFonts w:ascii="Times New Roman" w:hAnsi="Times New Roman" w:cs="Times New Roman"/>
          <w:sz w:val="24"/>
          <w:szCs w:val="24"/>
        </w:rPr>
      </w:pPr>
      <w:r w:rsidRPr="00C46C1D">
        <w:rPr>
          <w:rFonts w:ascii="Times New Roman" w:hAnsi="Times New Roman" w:cs="Times New Roman"/>
          <w:sz w:val="24"/>
          <w:szCs w:val="24"/>
        </w:rPr>
        <w:t xml:space="preserve">Основные причины: </w:t>
      </w:r>
    </w:p>
    <w:p w:rsidR="00080F57" w:rsidRPr="00080F57" w:rsidRDefault="00080F57" w:rsidP="00080F57">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н</w:t>
      </w:r>
      <w:r w:rsidRPr="00080F57">
        <w:rPr>
          <w:rFonts w:ascii="Times New Roman" w:hAnsi="Times New Roman" w:cs="Times New Roman"/>
          <w:sz w:val="24"/>
          <w:szCs w:val="24"/>
        </w:rPr>
        <w:t>еисполнение организационных мероприятий по снижению потерь;</w:t>
      </w:r>
    </w:p>
    <w:p w:rsidR="00FA7943" w:rsidRDefault="00080F57" w:rsidP="00080F57">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sidRPr="00080F57">
        <w:rPr>
          <w:rFonts w:ascii="Times New Roman" w:hAnsi="Times New Roman" w:cs="Times New Roman"/>
          <w:sz w:val="24"/>
          <w:szCs w:val="24"/>
        </w:rPr>
        <w:tab/>
      </w:r>
      <w:r>
        <w:rPr>
          <w:rFonts w:ascii="Times New Roman" w:hAnsi="Times New Roman" w:cs="Times New Roman"/>
          <w:sz w:val="24"/>
          <w:szCs w:val="24"/>
        </w:rPr>
        <w:t>п</w:t>
      </w:r>
      <w:r w:rsidRPr="00080F57">
        <w:rPr>
          <w:rFonts w:ascii="Times New Roman" w:hAnsi="Times New Roman" w:cs="Times New Roman"/>
          <w:sz w:val="24"/>
          <w:szCs w:val="24"/>
        </w:rPr>
        <w:t>еренос на 2024 год тех</w:t>
      </w:r>
      <w:r w:rsidR="00AA7352">
        <w:rPr>
          <w:rFonts w:ascii="Times New Roman" w:hAnsi="Times New Roman" w:cs="Times New Roman"/>
          <w:sz w:val="24"/>
          <w:szCs w:val="24"/>
        </w:rPr>
        <w:t>нических</w:t>
      </w:r>
      <w:r w:rsidRPr="00080F57">
        <w:rPr>
          <w:rFonts w:ascii="Times New Roman" w:hAnsi="Times New Roman" w:cs="Times New Roman"/>
          <w:sz w:val="24"/>
          <w:szCs w:val="24"/>
        </w:rPr>
        <w:t xml:space="preserve"> мероприятий по учету в Грозненских ГЭС</w:t>
      </w:r>
      <w:r w:rsidR="00AA7352">
        <w:rPr>
          <w:rFonts w:ascii="Times New Roman" w:hAnsi="Times New Roman" w:cs="Times New Roman"/>
          <w:sz w:val="24"/>
          <w:szCs w:val="24"/>
        </w:rPr>
        <w:t>,</w:t>
      </w:r>
      <w:r w:rsidRPr="00080F57">
        <w:rPr>
          <w:rFonts w:ascii="Times New Roman" w:hAnsi="Times New Roman" w:cs="Times New Roman"/>
          <w:sz w:val="24"/>
          <w:szCs w:val="24"/>
        </w:rPr>
        <w:t xml:space="preserve"> в связи с проведением повторных про</w:t>
      </w:r>
      <w:r w:rsidR="00AA7352">
        <w:rPr>
          <w:rFonts w:ascii="Times New Roman" w:hAnsi="Times New Roman" w:cs="Times New Roman"/>
          <w:sz w:val="24"/>
          <w:szCs w:val="24"/>
        </w:rPr>
        <w:t>ектных работ с прохождением государственной</w:t>
      </w:r>
      <w:r w:rsidRPr="00080F57">
        <w:rPr>
          <w:rFonts w:ascii="Times New Roman" w:hAnsi="Times New Roman" w:cs="Times New Roman"/>
          <w:sz w:val="24"/>
          <w:szCs w:val="24"/>
        </w:rPr>
        <w:t xml:space="preserve"> экспертизы, а также проведением повторных торгово-закупочных процедур</w:t>
      </w:r>
      <w:r w:rsidR="00AA7352">
        <w:rPr>
          <w:rFonts w:ascii="Times New Roman" w:hAnsi="Times New Roman" w:cs="Times New Roman"/>
          <w:sz w:val="24"/>
          <w:szCs w:val="24"/>
        </w:rPr>
        <w:t xml:space="preserve"> по результатам проектных работ.</w:t>
      </w:r>
    </w:p>
    <w:p w:rsidR="00080F57" w:rsidRPr="00B369F9" w:rsidRDefault="00080F57" w:rsidP="007C7C02">
      <w:pPr>
        <w:tabs>
          <w:tab w:val="left" w:pos="993"/>
        </w:tabs>
        <w:spacing w:after="0" w:line="240" w:lineRule="auto"/>
        <w:ind w:firstLine="709"/>
        <w:jc w:val="both"/>
        <w:rPr>
          <w:rFonts w:ascii="Times New Roman" w:hAnsi="Times New Roman" w:cs="Times New Roman"/>
          <w:sz w:val="24"/>
          <w:szCs w:val="24"/>
        </w:rPr>
      </w:pPr>
    </w:p>
    <w:p w:rsidR="003F39BC" w:rsidRPr="00FC4B06" w:rsidRDefault="003F39BC" w:rsidP="005B2B61">
      <w:pPr>
        <w:pStyle w:val="1"/>
        <w:ind w:firstLine="709"/>
      </w:pPr>
      <w:bookmarkStart w:id="15" w:name="_Toc163738861"/>
      <w:r w:rsidRPr="00FC4B06">
        <w:t>Финансовые результаты</w:t>
      </w:r>
      <w:bookmarkEnd w:id="15"/>
    </w:p>
    <w:p w:rsidR="00432FB0" w:rsidRDefault="00432FB0" w:rsidP="00432FB0">
      <w:pPr>
        <w:suppressAutoHyphens/>
        <w:spacing w:after="0" w:line="240" w:lineRule="auto"/>
        <w:ind w:firstLine="709"/>
        <w:jc w:val="both"/>
        <w:rPr>
          <w:rFonts w:ascii="Times New Roman" w:eastAsia="Calibri" w:hAnsi="Times New Roman" w:cs="Times New Roman"/>
          <w:sz w:val="24"/>
          <w:szCs w:val="24"/>
          <w:lang w:eastAsia="ru-RU"/>
        </w:rPr>
      </w:pPr>
    </w:p>
    <w:p w:rsidR="00FF12DF" w:rsidRPr="00FF12DF" w:rsidRDefault="00FF12DF" w:rsidP="00FF12DF">
      <w:pPr>
        <w:suppressAutoHyphens/>
        <w:spacing w:after="0" w:line="240" w:lineRule="auto"/>
        <w:ind w:firstLine="709"/>
        <w:jc w:val="both"/>
        <w:rPr>
          <w:rFonts w:ascii="Times New Roman" w:eastAsia="Calibri" w:hAnsi="Times New Roman" w:cs="Times New Roman"/>
          <w:sz w:val="24"/>
          <w:szCs w:val="24"/>
          <w:lang w:eastAsia="ru-RU"/>
        </w:rPr>
      </w:pPr>
      <w:r w:rsidRPr="00FF12DF">
        <w:rPr>
          <w:rFonts w:ascii="Times New Roman" w:eastAsia="Calibri" w:hAnsi="Times New Roman" w:cs="Times New Roman"/>
          <w:sz w:val="24"/>
          <w:szCs w:val="24"/>
          <w:lang w:eastAsia="ru-RU"/>
        </w:rPr>
        <w:t xml:space="preserve">Выручка </w:t>
      </w:r>
      <w:r w:rsidR="00582046">
        <w:rPr>
          <w:rFonts w:ascii="Times New Roman" w:eastAsia="Calibri" w:hAnsi="Times New Roman" w:cs="Times New Roman"/>
          <w:sz w:val="24"/>
          <w:szCs w:val="24"/>
          <w:lang w:eastAsia="ru-RU"/>
        </w:rPr>
        <w:t>Общества</w:t>
      </w:r>
      <w:r w:rsidRPr="00FF12DF">
        <w:rPr>
          <w:rFonts w:ascii="Times New Roman" w:eastAsia="Calibri" w:hAnsi="Times New Roman" w:cs="Times New Roman"/>
          <w:sz w:val="24"/>
          <w:szCs w:val="24"/>
          <w:lang w:eastAsia="ru-RU"/>
        </w:rPr>
        <w:t xml:space="preserve"> от реализации продукции (услуг) по итогам 2023 г. составила 8 117,1 млн руб., что на 1 001,4 млн руб., или на 14,1 %, выше уровня 2022 г. Выручка от продажи электроэнергии составила 7 998,7 млн руб., что на 939,5 млн руб., или на 13,3 %, выше уровня 2022 г. вследствие увеличения объема и изменения структуры потребления.</w:t>
      </w:r>
    </w:p>
    <w:p w:rsidR="00FF12DF" w:rsidRPr="00FF12DF" w:rsidRDefault="00FF12DF" w:rsidP="00FF12DF">
      <w:pPr>
        <w:suppressAutoHyphens/>
        <w:spacing w:after="0" w:line="240" w:lineRule="auto"/>
        <w:ind w:firstLine="709"/>
        <w:jc w:val="both"/>
        <w:rPr>
          <w:rFonts w:ascii="Times New Roman" w:eastAsia="Calibri" w:hAnsi="Times New Roman" w:cs="Times New Roman"/>
          <w:sz w:val="24"/>
          <w:szCs w:val="24"/>
          <w:lang w:eastAsia="ru-RU"/>
        </w:rPr>
      </w:pPr>
      <w:r w:rsidRPr="00FF12DF">
        <w:rPr>
          <w:rFonts w:ascii="Times New Roman" w:eastAsia="Calibri" w:hAnsi="Times New Roman" w:cs="Times New Roman"/>
          <w:sz w:val="24"/>
          <w:szCs w:val="24"/>
          <w:lang w:eastAsia="ru-RU"/>
        </w:rPr>
        <w:t xml:space="preserve">Себестоимость (с учетом коммерческих и управленческих расходов) составила 9 256,4 млн руб., что на 1 146,6 млн руб., или на 14,1 %, выше уровня 2022 г. Основными факторами роста себестоимости относительно показателя 2022 г. являются увеличение затрат на покупную электроэнергию и мощность для реализации и рост покупки электроэнергии на компенсацию потерь. </w:t>
      </w:r>
    </w:p>
    <w:p w:rsidR="00FF12DF" w:rsidRPr="00FF12DF" w:rsidRDefault="00FF12DF" w:rsidP="00FF12DF">
      <w:pPr>
        <w:suppressAutoHyphens/>
        <w:spacing w:after="0" w:line="240" w:lineRule="auto"/>
        <w:ind w:firstLine="709"/>
        <w:jc w:val="both"/>
        <w:rPr>
          <w:rFonts w:ascii="Times New Roman" w:eastAsia="Calibri" w:hAnsi="Times New Roman" w:cs="Times New Roman"/>
          <w:sz w:val="24"/>
          <w:szCs w:val="24"/>
          <w:lang w:eastAsia="ru-RU"/>
        </w:rPr>
      </w:pPr>
      <w:r w:rsidRPr="00FF12DF">
        <w:rPr>
          <w:rFonts w:ascii="Times New Roman" w:eastAsia="Calibri" w:hAnsi="Times New Roman" w:cs="Times New Roman"/>
          <w:sz w:val="24"/>
          <w:szCs w:val="24"/>
          <w:lang w:eastAsia="ru-RU"/>
        </w:rPr>
        <w:t>По итогам 2023 г. сальдо прочих доходов и расходов (с учётом процентов к получению и уплате) составило 307,9 млн руб., что на 866,5 млн руб., или 155,1 %, выше факта 2022 г. Основными факторами улучшения показателя являются отражение фактического дохода от размещения свободных средств на депозитных счетах и снижение сальдо резервов по сомнительным долгам.</w:t>
      </w:r>
    </w:p>
    <w:p w:rsidR="00FF12DF" w:rsidRPr="00FF12DF" w:rsidRDefault="00FF12DF" w:rsidP="00FF12DF">
      <w:pPr>
        <w:suppressAutoHyphens/>
        <w:spacing w:after="0" w:line="240" w:lineRule="auto"/>
        <w:ind w:firstLine="709"/>
        <w:jc w:val="both"/>
        <w:rPr>
          <w:rFonts w:ascii="Times New Roman" w:eastAsia="Calibri" w:hAnsi="Times New Roman" w:cs="Times New Roman"/>
          <w:sz w:val="24"/>
          <w:szCs w:val="24"/>
          <w:lang w:eastAsia="ru-RU"/>
        </w:rPr>
      </w:pPr>
      <w:r w:rsidRPr="00FF12DF">
        <w:rPr>
          <w:rFonts w:ascii="Times New Roman" w:eastAsia="Calibri" w:hAnsi="Times New Roman" w:cs="Times New Roman"/>
          <w:sz w:val="24"/>
          <w:szCs w:val="24"/>
          <w:lang w:eastAsia="ru-RU"/>
        </w:rPr>
        <w:lastRenderedPageBreak/>
        <w:t xml:space="preserve">Финансовый результат </w:t>
      </w:r>
      <w:r>
        <w:rPr>
          <w:rFonts w:ascii="Times New Roman" w:eastAsia="Calibri" w:hAnsi="Times New Roman" w:cs="Times New Roman"/>
          <w:sz w:val="24"/>
          <w:szCs w:val="24"/>
          <w:lang w:eastAsia="ru-RU"/>
        </w:rPr>
        <w:t>Общества</w:t>
      </w:r>
      <w:r w:rsidRPr="00FF12DF">
        <w:rPr>
          <w:rFonts w:ascii="Times New Roman" w:eastAsia="Calibri" w:hAnsi="Times New Roman" w:cs="Times New Roman"/>
          <w:sz w:val="24"/>
          <w:szCs w:val="24"/>
          <w:lang w:eastAsia="ru-RU"/>
        </w:rPr>
        <w:t xml:space="preserve"> по итогам деятельности за 2023 г. составил</w:t>
      </w:r>
      <w:r>
        <w:rPr>
          <w:rFonts w:ascii="Times New Roman" w:eastAsia="Calibri" w:hAnsi="Times New Roman" w:cs="Times New Roman"/>
          <w:sz w:val="24"/>
          <w:szCs w:val="24"/>
          <w:lang w:eastAsia="ru-RU"/>
        </w:rPr>
        <w:t xml:space="preserve"> (-</w:t>
      </w:r>
      <w:r w:rsidRPr="00FF12DF">
        <w:rPr>
          <w:rFonts w:ascii="Times New Roman" w:eastAsia="Calibri" w:hAnsi="Times New Roman" w:cs="Times New Roman"/>
          <w:sz w:val="24"/>
          <w:szCs w:val="24"/>
          <w:lang w:eastAsia="ru-RU"/>
        </w:rPr>
        <w:t>830,9) млн руб. Чистый убыток снизился по сравнению с показателем 2022 г. на 730,2 млн руб., или на 46,8 %.</w:t>
      </w:r>
      <w:r w:rsidRPr="00FF12DF">
        <w:rPr>
          <w:rFonts w:ascii="Times New Roman" w:eastAsia="Calibri" w:hAnsi="Times New Roman" w:cs="Times New Roman"/>
          <w:sz w:val="24"/>
          <w:szCs w:val="24"/>
          <w:lang w:eastAsia="ru-RU"/>
        </w:rPr>
        <w:tab/>
      </w:r>
    </w:p>
    <w:p w:rsidR="00FF12DF" w:rsidRDefault="00FF12DF" w:rsidP="00FF12DF">
      <w:pPr>
        <w:suppressAutoHyphens/>
        <w:spacing w:after="0" w:line="240" w:lineRule="auto"/>
        <w:jc w:val="both"/>
        <w:rPr>
          <w:rFonts w:ascii="Times New Roman" w:eastAsia="Calibri" w:hAnsi="Times New Roman" w:cs="Times New Roman"/>
          <w:sz w:val="24"/>
          <w:szCs w:val="24"/>
          <w:lang w:eastAsia="ru-RU"/>
        </w:rPr>
      </w:pPr>
    </w:p>
    <w:p w:rsidR="00FF12DF" w:rsidRDefault="00FF12DF" w:rsidP="00FF12DF">
      <w:pPr>
        <w:suppressAutoHyphens/>
        <w:spacing w:after="0" w:line="240" w:lineRule="auto"/>
        <w:jc w:val="center"/>
        <w:rPr>
          <w:rFonts w:ascii="Times New Roman" w:eastAsia="Calibri" w:hAnsi="Times New Roman" w:cs="Times New Roman"/>
          <w:b/>
          <w:sz w:val="24"/>
          <w:szCs w:val="24"/>
          <w:lang w:eastAsia="ru-RU"/>
        </w:rPr>
      </w:pPr>
      <w:r w:rsidRPr="00FF12DF">
        <w:rPr>
          <w:rFonts w:ascii="Times New Roman" w:eastAsia="Calibri" w:hAnsi="Times New Roman" w:cs="Times New Roman"/>
          <w:b/>
          <w:sz w:val="24"/>
          <w:szCs w:val="24"/>
          <w:lang w:eastAsia="ru-RU"/>
        </w:rPr>
        <w:t>Основные финансово-эко</w:t>
      </w:r>
      <w:r>
        <w:rPr>
          <w:rFonts w:ascii="Times New Roman" w:eastAsia="Calibri" w:hAnsi="Times New Roman" w:cs="Times New Roman"/>
          <w:b/>
          <w:sz w:val="24"/>
          <w:szCs w:val="24"/>
          <w:lang w:eastAsia="ru-RU"/>
        </w:rPr>
        <w:t>номические показатели, млн руб.*</w:t>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1145"/>
        <w:gridCol w:w="1145"/>
        <w:gridCol w:w="1145"/>
        <w:gridCol w:w="1435"/>
      </w:tblGrid>
      <w:tr w:rsidR="00FF12DF" w:rsidRPr="00FF12DF" w:rsidTr="00A12F59">
        <w:trPr>
          <w:trHeight w:val="315"/>
          <w:tblHeader/>
        </w:trPr>
        <w:tc>
          <w:tcPr>
            <w:tcW w:w="2435" w:type="pct"/>
            <w:vMerge w:val="restar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Показатели</w:t>
            </w:r>
          </w:p>
        </w:tc>
        <w:tc>
          <w:tcPr>
            <w:tcW w:w="2565" w:type="pct"/>
            <w:gridSpan w:val="4"/>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Период</w:t>
            </w:r>
          </w:p>
        </w:tc>
      </w:tr>
      <w:tr w:rsidR="00A12F59" w:rsidRPr="00FF12DF" w:rsidTr="00A12F59">
        <w:trPr>
          <w:trHeight w:val="130"/>
          <w:tblHeader/>
        </w:trPr>
        <w:tc>
          <w:tcPr>
            <w:tcW w:w="2435" w:type="pct"/>
            <w:vMerge/>
            <w:vAlign w:val="center"/>
            <w:hideMark/>
          </w:tcPr>
          <w:p w:rsidR="00A12F59" w:rsidRPr="00FF12DF" w:rsidRDefault="00A12F59" w:rsidP="00FF12DF">
            <w:pPr>
              <w:spacing w:after="0" w:line="240" w:lineRule="auto"/>
              <w:rPr>
                <w:rFonts w:ascii="Times New Roman" w:eastAsia="Times New Roman" w:hAnsi="Times New Roman" w:cs="Times New Roman"/>
                <w:b/>
                <w:bCs/>
                <w:color w:val="000000"/>
                <w:sz w:val="20"/>
                <w:szCs w:val="20"/>
                <w:lang w:eastAsia="ru-RU"/>
              </w:rPr>
            </w:pPr>
          </w:p>
        </w:tc>
        <w:tc>
          <w:tcPr>
            <w:tcW w:w="603" w:type="pct"/>
            <w:shd w:val="clear" w:color="auto" w:fill="auto"/>
            <w:vAlign w:val="center"/>
            <w:hideMark/>
          </w:tcPr>
          <w:p w:rsidR="00A12F59" w:rsidRPr="00FF12DF" w:rsidRDefault="00A12F59"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2021 год</w:t>
            </w:r>
          </w:p>
        </w:tc>
        <w:tc>
          <w:tcPr>
            <w:tcW w:w="603" w:type="pct"/>
            <w:shd w:val="clear" w:color="auto" w:fill="auto"/>
            <w:vAlign w:val="center"/>
            <w:hideMark/>
          </w:tcPr>
          <w:p w:rsidR="00A12F59" w:rsidRPr="00FF12DF" w:rsidRDefault="00A12F59"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2022 год</w:t>
            </w:r>
          </w:p>
        </w:tc>
        <w:tc>
          <w:tcPr>
            <w:tcW w:w="603" w:type="pct"/>
            <w:shd w:val="clear" w:color="auto" w:fill="auto"/>
            <w:vAlign w:val="center"/>
            <w:hideMark/>
          </w:tcPr>
          <w:p w:rsidR="00A12F59" w:rsidRPr="00FF12DF" w:rsidRDefault="00A12F59"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2023 год</w:t>
            </w:r>
          </w:p>
        </w:tc>
        <w:tc>
          <w:tcPr>
            <w:tcW w:w="756" w:type="pct"/>
            <w:shd w:val="clear" w:color="auto" w:fill="auto"/>
            <w:vAlign w:val="center"/>
            <w:hideMark/>
          </w:tcPr>
          <w:p w:rsidR="00A12F59" w:rsidRPr="00FF12DF" w:rsidRDefault="00A12F59"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изменение 2023/2022, %</w:t>
            </w:r>
          </w:p>
        </w:tc>
      </w:tr>
      <w:tr w:rsidR="00FF12DF" w:rsidRPr="00FF12DF" w:rsidTr="00A12F59">
        <w:trPr>
          <w:trHeight w:val="315"/>
          <w:tblHeader/>
        </w:trPr>
        <w:tc>
          <w:tcPr>
            <w:tcW w:w="2435"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w:t>
            </w:r>
          </w:p>
        </w:tc>
      </w:tr>
      <w:tr w:rsidR="00FF12DF" w:rsidRPr="00FF12DF" w:rsidTr="00A12F59">
        <w:trPr>
          <w:trHeight w:val="52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Выручка от реализации продукции (услуг), в том числе:</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6 356,3</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7 115,7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8 117,1</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14,1%</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 xml:space="preserve"> - от передачи электроэнергии</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37,4</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0,0</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30,4</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 от технологического присоединения</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4,9</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30,7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32,4</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5,6%</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 от продажи электроэнергии</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6 273,8</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7 059,2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7 998,7</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13,3%</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 от прочей деятельности</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40,2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25,8</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55,6</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115,6%</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Себестоимость продукции (услуг)</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5 496,7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5 432,6</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6 398,6</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17,8%</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Валовая прибыль</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859,6</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1 683,2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1 718,6</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2,1%</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Коммерческие расходы</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2 095,9</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2 454,0</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2 598,3</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5,9%</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Управленческие расходы</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200,5</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223,2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259,5</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16,3%</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Прибыль (убыток) от продаж</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-1 436,8</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-994,0</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-1 139,3</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14,6%</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Проценты к получению</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4,5</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68,7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200,1</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191,2%</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Проценты к уплате</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300,6</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316,1</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145,1</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-54,1%</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Доходы от участия в других организациях</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0,0</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0,0</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0,0</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Прочие доходы</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2 586,1</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4 395,1</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4 474,7</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1,8%</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Прочие расходы</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3 572,6</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4 706,4</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4 221,9</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-10,3%</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Прибыль (убыток) до налогообложения</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-2 719,5</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-1 552,7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-831,4</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-46,5%</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Налог на прибыль и иные платежи</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-1,2</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-8,4</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0,5</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-105,9%</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Чистая прибыль (убыток)</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-2 720,7</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-1 561,1</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-830,9</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-46,8%</w:t>
            </w:r>
          </w:p>
        </w:tc>
      </w:tr>
      <w:tr w:rsidR="00FF12DF" w:rsidRPr="00FF12DF" w:rsidTr="00A12F59">
        <w:trPr>
          <w:trHeight w:val="315"/>
        </w:trPr>
        <w:tc>
          <w:tcPr>
            <w:tcW w:w="2435" w:type="pct"/>
            <w:shd w:val="clear" w:color="auto" w:fill="auto"/>
            <w:vAlign w:val="center"/>
            <w:hideMark/>
          </w:tcPr>
          <w:p w:rsidR="00FF12DF" w:rsidRPr="00FF12DF" w:rsidRDefault="00FF12DF" w:rsidP="00FF12DF">
            <w:pPr>
              <w:spacing w:after="0" w:line="240" w:lineRule="auto"/>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EBITDA</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-1 707,8</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-1 226,3</w:t>
            </w:r>
          </w:p>
        </w:tc>
        <w:tc>
          <w:tcPr>
            <w:tcW w:w="603"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b/>
                <w:bCs/>
                <w:color w:val="000000"/>
                <w:sz w:val="20"/>
                <w:szCs w:val="20"/>
                <w:lang w:eastAsia="ru-RU"/>
              </w:rPr>
            </w:pPr>
            <w:r w:rsidRPr="00FF12DF">
              <w:rPr>
                <w:rFonts w:ascii="Times New Roman" w:eastAsia="Times New Roman" w:hAnsi="Times New Roman" w:cs="Times New Roman"/>
                <w:b/>
                <w:bCs/>
                <w:color w:val="000000"/>
                <w:sz w:val="20"/>
                <w:szCs w:val="20"/>
                <w:lang w:eastAsia="ru-RU"/>
              </w:rPr>
              <w:t>-544,2</w:t>
            </w:r>
          </w:p>
        </w:tc>
        <w:tc>
          <w:tcPr>
            <w:tcW w:w="756" w:type="pct"/>
            <w:shd w:val="clear" w:color="auto" w:fill="auto"/>
            <w:vAlign w:val="center"/>
            <w:hideMark/>
          </w:tcPr>
          <w:p w:rsidR="00FF12DF" w:rsidRPr="00FF12DF" w:rsidRDefault="00FF12DF" w:rsidP="00FF12DF">
            <w:pPr>
              <w:spacing w:after="0" w:line="240" w:lineRule="auto"/>
              <w:jc w:val="center"/>
              <w:rPr>
                <w:rFonts w:ascii="Times New Roman" w:eastAsia="Times New Roman" w:hAnsi="Times New Roman" w:cs="Times New Roman"/>
                <w:color w:val="000000"/>
                <w:sz w:val="20"/>
                <w:szCs w:val="20"/>
                <w:lang w:eastAsia="ru-RU"/>
              </w:rPr>
            </w:pPr>
            <w:r w:rsidRPr="00FF12DF">
              <w:rPr>
                <w:rFonts w:ascii="Times New Roman" w:eastAsia="Times New Roman" w:hAnsi="Times New Roman" w:cs="Times New Roman"/>
                <w:color w:val="000000"/>
                <w:sz w:val="20"/>
                <w:szCs w:val="20"/>
                <w:lang w:eastAsia="ru-RU"/>
              </w:rPr>
              <w:t>-55,6%</w:t>
            </w:r>
          </w:p>
        </w:tc>
      </w:tr>
      <w:tr w:rsidR="00E46536" w:rsidRPr="00E46536" w:rsidTr="00A12F59">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Чистый долг/ EBITDA</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-1,36</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2,53</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4,31</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70,28%</w:t>
            </w:r>
          </w:p>
        </w:tc>
      </w:tr>
      <w:tr w:rsidR="00E46536" w:rsidRPr="00E46536" w:rsidTr="00A12F59">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Коэффициент текущей ликвидности</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0,30</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0,67</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0,79</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18,84%</w:t>
            </w:r>
          </w:p>
        </w:tc>
      </w:tr>
      <w:tr w:rsidR="00E46536" w:rsidRPr="00E46536" w:rsidTr="00A12F59">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Финансовый рычаг</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3,30</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7,71</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1,50</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-80,57%</w:t>
            </w:r>
          </w:p>
        </w:tc>
      </w:tr>
      <w:tr w:rsidR="00E46536" w:rsidRPr="00E46536" w:rsidTr="00A12F59">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Доля долгосрочных заемных средств</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0,06</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0,68</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0,71</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5,13%</w:t>
            </w:r>
          </w:p>
        </w:tc>
      </w:tr>
      <w:tr w:rsidR="00E46536" w:rsidRPr="00E46536" w:rsidTr="00A12F59">
        <w:trPr>
          <w:trHeight w:val="315"/>
        </w:trPr>
        <w:tc>
          <w:tcPr>
            <w:tcW w:w="243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Чистый денежный поток АРМ</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-3 444 987</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2 232 610</w:t>
            </w:r>
          </w:p>
        </w:tc>
        <w:tc>
          <w:tcPr>
            <w:tcW w:w="6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b/>
                <w:bCs/>
                <w:color w:val="000000"/>
                <w:sz w:val="20"/>
                <w:szCs w:val="20"/>
                <w:lang w:eastAsia="ru-RU"/>
              </w:rPr>
            </w:pPr>
            <w:r w:rsidRPr="00E46536">
              <w:rPr>
                <w:rFonts w:ascii="Times New Roman" w:eastAsia="Times New Roman" w:hAnsi="Times New Roman" w:cs="Times New Roman"/>
                <w:b/>
                <w:bCs/>
                <w:color w:val="000000"/>
                <w:sz w:val="20"/>
                <w:szCs w:val="20"/>
                <w:lang w:eastAsia="ru-RU"/>
              </w:rPr>
              <w:t>-2 699 710</w:t>
            </w:r>
          </w:p>
        </w:tc>
        <w:tc>
          <w:tcPr>
            <w:tcW w:w="75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46536" w:rsidRPr="00E46536" w:rsidRDefault="00E46536" w:rsidP="00E46536">
            <w:pPr>
              <w:spacing w:after="0" w:line="240" w:lineRule="auto"/>
              <w:jc w:val="center"/>
              <w:rPr>
                <w:rFonts w:ascii="Times New Roman" w:eastAsia="Times New Roman" w:hAnsi="Times New Roman" w:cs="Times New Roman"/>
                <w:color w:val="000000"/>
                <w:sz w:val="20"/>
                <w:szCs w:val="20"/>
                <w:lang w:eastAsia="ru-RU"/>
              </w:rPr>
            </w:pPr>
            <w:r w:rsidRPr="00E46536">
              <w:rPr>
                <w:rFonts w:ascii="Times New Roman" w:eastAsia="Times New Roman" w:hAnsi="Times New Roman" w:cs="Times New Roman"/>
                <w:color w:val="000000"/>
                <w:sz w:val="20"/>
                <w:szCs w:val="20"/>
                <w:lang w:eastAsia="ru-RU"/>
              </w:rPr>
              <w:t>-220,92%</w:t>
            </w:r>
          </w:p>
        </w:tc>
      </w:tr>
    </w:tbl>
    <w:p w:rsidR="00FF12DF" w:rsidRPr="00FF12DF" w:rsidRDefault="00FF12DF" w:rsidP="00FF12DF">
      <w:pPr>
        <w:suppressAutoHyphens/>
        <w:spacing w:after="0" w:line="240" w:lineRule="auto"/>
        <w:rPr>
          <w:rFonts w:ascii="Times New Roman" w:eastAsia="Calibri" w:hAnsi="Times New Roman" w:cs="Times New Roman"/>
          <w:sz w:val="20"/>
          <w:szCs w:val="24"/>
          <w:lang w:eastAsia="ru-RU"/>
        </w:rPr>
      </w:pPr>
      <w:r w:rsidRPr="00FF12DF">
        <w:rPr>
          <w:rFonts w:ascii="Times New Roman" w:eastAsia="Calibri" w:hAnsi="Times New Roman" w:cs="Times New Roman"/>
          <w:sz w:val="20"/>
          <w:szCs w:val="24"/>
          <w:lang w:eastAsia="ru-RU"/>
        </w:rPr>
        <w:t>*В соответствии с показателями бухгалтерской (финансовой) отчетности</w:t>
      </w:r>
      <w:r>
        <w:rPr>
          <w:rFonts w:ascii="Times New Roman" w:eastAsia="Calibri" w:hAnsi="Times New Roman" w:cs="Times New Roman"/>
          <w:sz w:val="20"/>
          <w:szCs w:val="24"/>
          <w:lang w:eastAsia="ru-RU"/>
        </w:rPr>
        <w:t xml:space="preserve"> Общество</w:t>
      </w:r>
      <w:r w:rsidRPr="00FF12DF">
        <w:rPr>
          <w:rFonts w:ascii="Times New Roman" w:eastAsia="Calibri" w:hAnsi="Times New Roman" w:cs="Times New Roman"/>
          <w:sz w:val="20"/>
          <w:szCs w:val="24"/>
          <w:lang w:eastAsia="ru-RU"/>
        </w:rPr>
        <w:t xml:space="preserve"> за 2023 год</w:t>
      </w:r>
      <w:r>
        <w:rPr>
          <w:rFonts w:ascii="Times New Roman" w:eastAsia="Calibri" w:hAnsi="Times New Roman" w:cs="Times New Roman"/>
          <w:sz w:val="20"/>
          <w:szCs w:val="24"/>
          <w:lang w:eastAsia="ru-RU"/>
        </w:rPr>
        <w:t>.</w:t>
      </w:r>
    </w:p>
    <w:p w:rsidR="00432FB0" w:rsidRDefault="00432FB0" w:rsidP="00432FB0">
      <w:pPr>
        <w:pStyle w:val="af8"/>
        <w:tabs>
          <w:tab w:val="left" w:pos="993"/>
        </w:tabs>
        <w:ind w:left="0" w:right="-143" w:firstLine="709"/>
        <w:jc w:val="both"/>
        <w:rPr>
          <w:rFonts w:ascii="Times New Roman" w:hAnsi="Times New Roman" w:cs="Times New Roman"/>
          <w:sz w:val="24"/>
          <w:szCs w:val="24"/>
          <w:highlight w:val="yellow"/>
        </w:rPr>
      </w:pPr>
    </w:p>
    <w:p w:rsidR="003D55ED" w:rsidRDefault="003D55ED" w:rsidP="003D55ED">
      <w:pPr>
        <w:tabs>
          <w:tab w:val="left" w:pos="993"/>
        </w:tabs>
        <w:spacing w:after="0" w:line="240" w:lineRule="auto"/>
        <w:ind w:right="-142"/>
        <w:jc w:val="center"/>
        <w:rPr>
          <w:rFonts w:ascii="Times New Roman" w:hAnsi="Times New Roman" w:cs="Times New Roman"/>
          <w:b/>
          <w:sz w:val="24"/>
          <w:szCs w:val="24"/>
        </w:rPr>
      </w:pPr>
      <w:r w:rsidRPr="003D55ED">
        <w:rPr>
          <w:rFonts w:ascii="Times New Roman" w:hAnsi="Times New Roman" w:cs="Times New Roman"/>
          <w:b/>
          <w:sz w:val="24"/>
          <w:szCs w:val="24"/>
        </w:rPr>
        <w:t>Информация о состоянии чистых активов, млн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4"/>
        <w:gridCol w:w="2056"/>
        <w:gridCol w:w="2056"/>
        <w:gridCol w:w="2048"/>
      </w:tblGrid>
      <w:tr w:rsidR="003D55ED" w:rsidRPr="003D55ED" w:rsidTr="00A924F1">
        <w:trPr>
          <w:trHeight w:val="727"/>
          <w:jc w:val="center"/>
        </w:trPr>
        <w:tc>
          <w:tcPr>
            <w:tcW w:w="1704" w:type="pct"/>
            <w:shd w:val="clear" w:color="auto" w:fill="auto"/>
            <w:vAlign w:val="center"/>
            <w:hideMark/>
          </w:tcPr>
          <w:p w:rsidR="003D55ED" w:rsidRPr="003D55ED" w:rsidRDefault="003D55ED" w:rsidP="003D55ED">
            <w:pPr>
              <w:spacing w:after="0" w:line="240" w:lineRule="auto"/>
              <w:jc w:val="center"/>
              <w:rPr>
                <w:rFonts w:ascii="Times New Roman" w:eastAsia="Times New Roman" w:hAnsi="Times New Roman" w:cs="Times New Roman"/>
                <w:b/>
                <w:sz w:val="20"/>
                <w:szCs w:val="20"/>
                <w:lang w:eastAsia="ru-RU"/>
              </w:rPr>
            </w:pPr>
            <w:r w:rsidRPr="003D55ED">
              <w:rPr>
                <w:rFonts w:ascii="Times New Roman" w:eastAsia="Times New Roman" w:hAnsi="Times New Roman" w:cs="Times New Roman"/>
                <w:b/>
                <w:sz w:val="20"/>
                <w:szCs w:val="20"/>
                <w:lang w:eastAsia="ru-RU"/>
              </w:rPr>
              <w:t>Наименование показателя</w:t>
            </w:r>
          </w:p>
        </w:tc>
        <w:tc>
          <w:tcPr>
            <w:tcW w:w="1100" w:type="pct"/>
            <w:vAlign w:val="center"/>
          </w:tcPr>
          <w:p w:rsidR="003D55ED" w:rsidRPr="003D55ED" w:rsidRDefault="003D55ED" w:rsidP="003D55ED">
            <w:pPr>
              <w:spacing w:after="0" w:line="240" w:lineRule="auto"/>
              <w:jc w:val="center"/>
              <w:rPr>
                <w:rFonts w:ascii="Times New Roman" w:eastAsia="Times New Roman" w:hAnsi="Times New Roman" w:cs="Times New Roman"/>
                <w:b/>
                <w:sz w:val="20"/>
                <w:szCs w:val="20"/>
                <w:lang w:eastAsia="ru-RU"/>
              </w:rPr>
            </w:pPr>
            <w:r w:rsidRPr="003D55ED">
              <w:rPr>
                <w:rFonts w:ascii="Times New Roman" w:eastAsia="Times New Roman" w:hAnsi="Times New Roman" w:cs="Times New Roman"/>
                <w:b/>
                <w:sz w:val="20"/>
                <w:szCs w:val="20"/>
                <w:lang w:eastAsia="ru-RU"/>
              </w:rPr>
              <w:t>На конец 2023 года</w:t>
            </w:r>
          </w:p>
        </w:tc>
        <w:tc>
          <w:tcPr>
            <w:tcW w:w="1100" w:type="pct"/>
            <w:vAlign w:val="center"/>
          </w:tcPr>
          <w:p w:rsidR="003D55ED" w:rsidRPr="003D55ED" w:rsidRDefault="003D55ED" w:rsidP="003D55ED">
            <w:pPr>
              <w:spacing w:after="0" w:line="240" w:lineRule="auto"/>
              <w:jc w:val="center"/>
              <w:rPr>
                <w:rFonts w:ascii="Times New Roman" w:eastAsia="Times New Roman" w:hAnsi="Times New Roman" w:cs="Times New Roman"/>
                <w:b/>
                <w:sz w:val="20"/>
                <w:szCs w:val="20"/>
                <w:lang w:eastAsia="ru-RU"/>
              </w:rPr>
            </w:pPr>
            <w:r w:rsidRPr="003D55ED">
              <w:rPr>
                <w:rFonts w:ascii="Times New Roman" w:eastAsia="Times New Roman" w:hAnsi="Times New Roman" w:cs="Times New Roman"/>
                <w:b/>
                <w:sz w:val="20"/>
                <w:szCs w:val="20"/>
                <w:lang w:eastAsia="ru-RU"/>
              </w:rPr>
              <w:t>На конец 2022 года</w:t>
            </w:r>
          </w:p>
        </w:tc>
        <w:tc>
          <w:tcPr>
            <w:tcW w:w="1096" w:type="pct"/>
            <w:vAlign w:val="center"/>
          </w:tcPr>
          <w:p w:rsidR="003D55ED" w:rsidRPr="003D55ED" w:rsidRDefault="003D55ED" w:rsidP="003D55ED">
            <w:pPr>
              <w:spacing w:after="0" w:line="240" w:lineRule="auto"/>
              <w:jc w:val="center"/>
              <w:rPr>
                <w:rFonts w:ascii="Times New Roman" w:eastAsia="Times New Roman" w:hAnsi="Times New Roman" w:cs="Times New Roman"/>
                <w:b/>
                <w:sz w:val="20"/>
                <w:szCs w:val="20"/>
                <w:lang w:eastAsia="ru-RU"/>
              </w:rPr>
            </w:pPr>
            <w:r w:rsidRPr="003D55ED">
              <w:rPr>
                <w:rFonts w:ascii="Times New Roman" w:eastAsia="Times New Roman" w:hAnsi="Times New Roman" w:cs="Times New Roman"/>
                <w:b/>
                <w:sz w:val="20"/>
                <w:szCs w:val="20"/>
                <w:lang w:eastAsia="ru-RU"/>
              </w:rPr>
              <w:t>На конец 2021 года</w:t>
            </w:r>
          </w:p>
        </w:tc>
      </w:tr>
      <w:tr w:rsidR="003D55ED" w:rsidRPr="003D55ED" w:rsidTr="00A924F1">
        <w:trPr>
          <w:trHeight w:val="221"/>
          <w:jc w:val="center"/>
        </w:trPr>
        <w:tc>
          <w:tcPr>
            <w:tcW w:w="1704" w:type="pct"/>
            <w:shd w:val="clear" w:color="auto" w:fill="auto"/>
            <w:hideMark/>
          </w:tcPr>
          <w:p w:rsidR="003D55ED" w:rsidRPr="003D55ED" w:rsidRDefault="003D55ED" w:rsidP="003D55ED">
            <w:pPr>
              <w:spacing w:after="0" w:line="240" w:lineRule="auto"/>
              <w:rPr>
                <w:rFonts w:ascii="Times New Roman" w:eastAsia="Times New Roman" w:hAnsi="Times New Roman" w:cs="Times New Roman"/>
                <w:sz w:val="20"/>
                <w:szCs w:val="20"/>
                <w:lang w:eastAsia="ru-RU"/>
              </w:rPr>
            </w:pPr>
            <w:r w:rsidRPr="003D55ED">
              <w:rPr>
                <w:rFonts w:ascii="Times New Roman" w:eastAsia="Times New Roman" w:hAnsi="Times New Roman" w:cs="Times New Roman"/>
                <w:sz w:val="20"/>
                <w:szCs w:val="20"/>
                <w:lang w:eastAsia="ru-RU"/>
              </w:rPr>
              <w:t>Чистые активы</w:t>
            </w:r>
          </w:p>
        </w:tc>
        <w:tc>
          <w:tcPr>
            <w:tcW w:w="1100" w:type="pct"/>
          </w:tcPr>
          <w:p w:rsidR="003D55ED" w:rsidRPr="003D55ED" w:rsidRDefault="003D55ED" w:rsidP="003D55ED">
            <w:pPr>
              <w:spacing w:after="0" w:line="240" w:lineRule="auto"/>
              <w:jc w:val="center"/>
              <w:rPr>
                <w:rFonts w:ascii="Times New Roman" w:eastAsia="Times New Roman" w:hAnsi="Times New Roman" w:cs="Times New Roman"/>
                <w:sz w:val="20"/>
                <w:szCs w:val="20"/>
                <w:lang w:eastAsia="ru-RU"/>
              </w:rPr>
            </w:pPr>
            <w:r w:rsidRPr="003D55ED">
              <w:rPr>
                <w:rFonts w:ascii="Times New Roman" w:eastAsia="Times New Roman" w:hAnsi="Times New Roman" w:cs="Times New Roman"/>
                <w:sz w:val="20"/>
                <w:szCs w:val="20"/>
                <w:lang w:eastAsia="ru-RU"/>
              </w:rPr>
              <w:t>7 152,8</w:t>
            </w:r>
          </w:p>
        </w:tc>
        <w:tc>
          <w:tcPr>
            <w:tcW w:w="1100" w:type="pct"/>
          </w:tcPr>
          <w:p w:rsidR="003D55ED" w:rsidRPr="003D55ED" w:rsidRDefault="003D55ED" w:rsidP="003D55ED">
            <w:pPr>
              <w:spacing w:after="0" w:line="240" w:lineRule="auto"/>
              <w:jc w:val="center"/>
              <w:rPr>
                <w:rFonts w:ascii="Times New Roman" w:eastAsia="Times New Roman" w:hAnsi="Times New Roman" w:cs="Times New Roman"/>
                <w:sz w:val="20"/>
                <w:szCs w:val="20"/>
                <w:lang w:eastAsia="ru-RU"/>
              </w:rPr>
            </w:pPr>
            <w:r w:rsidRPr="003D55ED">
              <w:rPr>
                <w:rFonts w:ascii="Times New Roman" w:eastAsia="Times New Roman" w:hAnsi="Times New Roman" w:cs="Times New Roman"/>
                <w:sz w:val="20"/>
                <w:szCs w:val="20"/>
                <w:lang w:eastAsia="ru-RU"/>
              </w:rPr>
              <w:t>2 109,7</w:t>
            </w:r>
          </w:p>
        </w:tc>
        <w:tc>
          <w:tcPr>
            <w:tcW w:w="1096" w:type="pct"/>
          </w:tcPr>
          <w:p w:rsidR="003D55ED" w:rsidRPr="003D55ED" w:rsidRDefault="003D55ED" w:rsidP="003D55ED">
            <w:pPr>
              <w:spacing w:after="0" w:line="240" w:lineRule="auto"/>
              <w:jc w:val="center"/>
              <w:rPr>
                <w:rFonts w:ascii="Times New Roman" w:eastAsia="Times New Roman" w:hAnsi="Times New Roman" w:cs="Times New Roman"/>
                <w:sz w:val="20"/>
                <w:szCs w:val="20"/>
                <w:lang w:eastAsia="ru-RU"/>
              </w:rPr>
            </w:pPr>
            <w:r w:rsidRPr="003D55ED">
              <w:rPr>
                <w:rFonts w:ascii="Times New Roman" w:eastAsia="Times New Roman" w:hAnsi="Times New Roman" w:cs="Times New Roman"/>
                <w:sz w:val="20"/>
                <w:szCs w:val="20"/>
                <w:lang w:eastAsia="ru-RU"/>
              </w:rPr>
              <w:t>3 268,3</w:t>
            </w:r>
          </w:p>
        </w:tc>
      </w:tr>
      <w:tr w:rsidR="00BF4136" w:rsidRPr="003D55ED" w:rsidTr="00A924F1">
        <w:trPr>
          <w:trHeight w:val="225"/>
          <w:jc w:val="center"/>
        </w:trPr>
        <w:tc>
          <w:tcPr>
            <w:tcW w:w="1704" w:type="pct"/>
            <w:shd w:val="clear" w:color="auto" w:fill="auto"/>
            <w:hideMark/>
          </w:tcPr>
          <w:p w:rsidR="00BF4136" w:rsidRPr="003D55ED" w:rsidRDefault="00BF4136" w:rsidP="00BF4136">
            <w:pPr>
              <w:spacing w:after="0" w:line="240" w:lineRule="auto"/>
              <w:rPr>
                <w:rFonts w:ascii="Times New Roman" w:eastAsia="Times New Roman" w:hAnsi="Times New Roman" w:cs="Times New Roman"/>
                <w:sz w:val="20"/>
                <w:szCs w:val="20"/>
                <w:lang w:eastAsia="ru-RU"/>
              </w:rPr>
            </w:pPr>
            <w:r w:rsidRPr="003D55ED">
              <w:rPr>
                <w:rFonts w:ascii="Times New Roman" w:eastAsia="Times New Roman" w:hAnsi="Times New Roman" w:cs="Times New Roman"/>
                <w:sz w:val="20"/>
                <w:szCs w:val="20"/>
                <w:lang w:eastAsia="ru-RU"/>
              </w:rPr>
              <w:t>Размер уставного капитала</w:t>
            </w:r>
          </w:p>
        </w:tc>
        <w:tc>
          <w:tcPr>
            <w:tcW w:w="1100" w:type="pct"/>
          </w:tcPr>
          <w:p w:rsidR="00BF4136" w:rsidRPr="00BF4136" w:rsidRDefault="00BF4136" w:rsidP="00BF4136">
            <w:pPr>
              <w:spacing w:after="0" w:line="240" w:lineRule="auto"/>
              <w:jc w:val="center"/>
              <w:rPr>
                <w:rFonts w:ascii="Times New Roman" w:eastAsia="Times New Roman" w:hAnsi="Times New Roman" w:cs="Times New Roman"/>
                <w:sz w:val="20"/>
                <w:szCs w:val="20"/>
                <w:lang w:eastAsia="ru-RU"/>
              </w:rPr>
            </w:pPr>
            <w:r w:rsidRPr="00BF4136">
              <w:rPr>
                <w:rFonts w:ascii="Times New Roman" w:eastAsia="Times New Roman" w:hAnsi="Times New Roman" w:cs="Times New Roman"/>
                <w:sz w:val="20"/>
                <w:szCs w:val="20"/>
                <w:lang w:eastAsia="ru-RU"/>
              </w:rPr>
              <w:t>26 192,7</w:t>
            </w:r>
          </w:p>
        </w:tc>
        <w:tc>
          <w:tcPr>
            <w:tcW w:w="1100" w:type="pct"/>
          </w:tcPr>
          <w:p w:rsidR="00BF4136" w:rsidRPr="00BF4136" w:rsidRDefault="00BF4136" w:rsidP="00BF4136">
            <w:pPr>
              <w:spacing w:after="0" w:line="240" w:lineRule="auto"/>
              <w:jc w:val="center"/>
              <w:rPr>
                <w:rFonts w:ascii="Times New Roman" w:eastAsia="Times New Roman" w:hAnsi="Times New Roman" w:cs="Times New Roman"/>
                <w:sz w:val="20"/>
                <w:szCs w:val="20"/>
                <w:lang w:eastAsia="ru-RU"/>
              </w:rPr>
            </w:pPr>
            <w:r w:rsidRPr="00BF4136">
              <w:rPr>
                <w:rFonts w:ascii="Times New Roman" w:eastAsia="Times New Roman" w:hAnsi="Times New Roman" w:cs="Times New Roman"/>
                <w:sz w:val="20"/>
                <w:szCs w:val="20"/>
                <w:lang w:eastAsia="ru-RU"/>
              </w:rPr>
              <w:t>10 603,9</w:t>
            </w:r>
          </w:p>
        </w:tc>
        <w:tc>
          <w:tcPr>
            <w:tcW w:w="1096" w:type="pct"/>
          </w:tcPr>
          <w:p w:rsidR="00BF4136" w:rsidRPr="00BF4136" w:rsidRDefault="00BF4136" w:rsidP="00BF4136">
            <w:pPr>
              <w:spacing w:after="0" w:line="240" w:lineRule="auto"/>
              <w:jc w:val="center"/>
              <w:rPr>
                <w:rFonts w:ascii="Times New Roman" w:eastAsia="Times New Roman" w:hAnsi="Times New Roman" w:cs="Times New Roman"/>
                <w:sz w:val="20"/>
                <w:szCs w:val="20"/>
                <w:lang w:eastAsia="ru-RU"/>
              </w:rPr>
            </w:pPr>
            <w:r w:rsidRPr="00BF4136">
              <w:rPr>
                <w:rFonts w:ascii="Times New Roman" w:eastAsia="Times New Roman" w:hAnsi="Times New Roman" w:cs="Times New Roman"/>
                <w:sz w:val="20"/>
                <w:szCs w:val="20"/>
                <w:lang w:eastAsia="ru-RU"/>
              </w:rPr>
              <w:t>10 603,9</w:t>
            </w:r>
          </w:p>
        </w:tc>
      </w:tr>
    </w:tbl>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p>
    <w:p w:rsid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sidRPr="003D55ED">
        <w:rPr>
          <w:rFonts w:ascii="Times New Roman" w:eastAsia="Calibri" w:hAnsi="Times New Roman" w:cs="Times New Roman"/>
          <w:sz w:val="24"/>
          <w:szCs w:val="24"/>
          <w:lang w:eastAsia="ru-RU"/>
        </w:rPr>
        <w:t>Чистые активы Общества за рассматриваемый период составляют 7 152,8 млн руб., что на 5 043,0 млн руб. выше показателя за 2022 год.  Увеличение величины чистых активов связано увеличением стоимости основных средств и снижением кредиторской задолженности Общества. При этом чистые активы Общества на конец 2023 года ни</w:t>
      </w:r>
      <w:r w:rsidR="00BF4136">
        <w:rPr>
          <w:rFonts w:ascii="Times New Roman" w:eastAsia="Calibri" w:hAnsi="Times New Roman" w:cs="Times New Roman"/>
          <w:sz w:val="24"/>
          <w:szCs w:val="24"/>
          <w:lang w:eastAsia="ru-RU"/>
        </w:rPr>
        <w:t>же уставного капитала Общества.</w:t>
      </w:r>
    </w:p>
    <w:p w:rsidR="00BF4136" w:rsidRPr="00BF4136" w:rsidRDefault="00BF4136" w:rsidP="00BF4136">
      <w:pPr>
        <w:suppressAutoHyphens/>
        <w:spacing w:after="0" w:line="240" w:lineRule="auto"/>
        <w:ind w:firstLine="709"/>
        <w:jc w:val="both"/>
        <w:rPr>
          <w:rFonts w:ascii="Times New Roman" w:eastAsia="Calibri" w:hAnsi="Times New Roman" w:cs="Times New Roman"/>
          <w:sz w:val="24"/>
          <w:szCs w:val="24"/>
          <w:lang w:eastAsia="ru-RU"/>
        </w:rPr>
      </w:pPr>
      <w:r w:rsidRPr="00BF4136">
        <w:rPr>
          <w:rFonts w:ascii="Times New Roman" w:eastAsia="Calibri" w:hAnsi="Times New Roman" w:cs="Times New Roman"/>
          <w:sz w:val="24"/>
          <w:szCs w:val="24"/>
          <w:lang w:eastAsia="ru-RU"/>
        </w:rPr>
        <w:lastRenderedPageBreak/>
        <w:t>Основными причинами убыточности деятельности Общества являются следующие факторы:</w:t>
      </w:r>
    </w:p>
    <w:p w:rsidR="00BF4136" w:rsidRPr="00BF4136" w:rsidRDefault="00BF4136" w:rsidP="00BF4136">
      <w:pPr>
        <w:suppressAutoHyphens/>
        <w:spacing w:after="0" w:line="240" w:lineRule="auto"/>
        <w:ind w:firstLine="709"/>
        <w:jc w:val="both"/>
        <w:rPr>
          <w:rFonts w:ascii="Times New Roman" w:eastAsia="Calibri" w:hAnsi="Times New Roman" w:cs="Times New Roman"/>
          <w:sz w:val="24"/>
          <w:szCs w:val="24"/>
          <w:lang w:eastAsia="ru-RU"/>
        </w:rPr>
      </w:pPr>
      <w:r w:rsidRPr="00BF4136">
        <w:rPr>
          <w:rFonts w:ascii="Times New Roman" w:eastAsia="Calibri" w:hAnsi="Times New Roman" w:cs="Times New Roman"/>
          <w:sz w:val="24"/>
          <w:szCs w:val="24"/>
          <w:lang w:eastAsia="ru-RU"/>
        </w:rPr>
        <w:t>1</w:t>
      </w:r>
      <w:r>
        <w:rPr>
          <w:rFonts w:ascii="Times New Roman" w:eastAsia="Calibri" w:hAnsi="Times New Roman" w:cs="Times New Roman"/>
          <w:sz w:val="24"/>
          <w:szCs w:val="24"/>
          <w:lang w:eastAsia="ru-RU"/>
        </w:rPr>
        <w:t>)</w:t>
      </w:r>
      <w:r w:rsidRPr="00BF4136">
        <w:rPr>
          <w:rFonts w:ascii="Times New Roman" w:eastAsia="Calibri" w:hAnsi="Times New Roman" w:cs="Times New Roman"/>
          <w:sz w:val="24"/>
          <w:szCs w:val="24"/>
          <w:lang w:eastAsia="ru-RU"/>
        </w:rPr>
        <w:t xml:space="preserve"> Высокий уровень сверхнормативных потерь электроэнергии, обусловленный высоким уровнем безучетного потребления электроэнергии, в том числе связанный с отсутствием газификации в горных районах.</w:t>
      </w:r>
    </w:p>
    <w:p w:rsidR="00BF4136" w:rsidRPr="003D55ED" w:rsidRDefault="00BF4136" w:rsidP="00BF4136">
      <w:pPr>
        <w:suppressAutoHyphen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2)</w:t>
      </w:r>
      <w:r w:rsidRPr="00BF4136">
        <w:rPr>
          <w:rFonts w:ascii="Times New Roman" w:eastAsia="Calibri" w:hAnsi="Times New Roman" w:cs="Times New Roman"/>
          <w:sz w:val="24"/>
          <w:szCs w:val="24"/>
          <w:lang w:eastAsia="ru-RU"/>
        </w:rPr>
        <w:t xml:space="preserve"> Низкий уровень поступлений от потребителей розничного рынка электроэнергии за потреблённую электроэнергию.</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sidRPr="003D55ED">
        <w:rPr>
          <w:rFonts w:ascii="Times New Roman" w:eastAsia="Calibri" w:hAnsi="Times New Roman" w:cs="Times New Roman"/>
          <w:sz w:val="24"/>
          <w:szCs w:val="24"/>
          <w:lang w:eastAsia="ru-RU"/>
        </w:rPr>
        <w:t>Меры по приведению стоимости чистых активов в соответствие с величиной уставного капитала:</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1) </w:t>
      </w:r>
      <w:r w:rsidRPr="003D55ED">
        <w:rPr>
          <w:rFonts w:ascii="Times New Roman" w:eastAsia="Calibri" w:hAnsi="Times New Roman" w:cs="Times New Roman"/>
          <w:sz w:val="24"/>
          <w:szCs w:val="24"/>
          <w:lang w:eastAsia="ru-RU"/>
        </w:rPr>
        <w:t>снижение уровня потерь в электрических сетях;</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2) </w:t>
      </w:r>
      <w:r w:rsidRPr="003D55ED">
        <w:rPr>
          <w:rFonts w:ascii="Times New Roman" w:eastAsia="Calibri" w:hAnsi="Times New Roman" w:cs="Times New Roman"/>
          <w:sz w:val="24"/>
          <w:szCs w:val="24"/>
          <w:lang w:eastAsia="ru-RU"/>
        </w:rPr>
        <w:t>обеспечение 100 % уровня оплаты текущих платежей за электроэнергию конечными потребителями;</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3) </w:t>
      </w:r>
      <w:r w:rsidRPr="003D55ED">
        <w:rPr>
          <w:rFonts w:ascii="Times New Roman" w:eastAsia="Calibri" w:hAnsi="Times New Roman" w:cs="Times New Roman"/>
          <w:sz w:val="24"/>
          <w:szCs w:val="24"/>
          <w:lang w:eastAsia="ru-RU"/>
        </w:rPr>
        <w:t>взыскание просроченной дебиторской задолженности потребителей;</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 xml:space="preserve">4) </w:t>
      </w:r>
      <w:r w:rsidRPr="003D55ED">
        <w:rPr>
          <w:rFonts w:ascii="Times New Roman" w:eastAsia="Calibri" w:hAnsi="Times New Roman" w:cs="Times New Roman"/>
          <w:sz w:val="24"/>
          <w:szCs w:val="24"/>
          <w:lang w:eastAsia="ru-RU"/>
        </w:rPr>
        <w:t>исполнение обязательств перед кредиторами Общества.</w:t>
      </w:r>
    </w:p>
    <w:p w:rsidR="003D55ED" w:rsidRPr="003D55ED" w:rsidRDefault="003D55ED" w:rsidP="003D55ED">
      <w:pPr>
        <w:suppressAutoHyphens/>
        <w:spacing w:after="0" w:line="240" w:lineRule="auto"/>
        <w:ind w:firstLine="709"/>
        <w:jc w:val="both"/>
        <w:rPr>
          <w:rFonts w:ascii="Times New Roman" w:eastAsia="Calibri" w:hAnsi="Times New Roman" w:cs="Times New Roman"/>
          <w:sz w:val="24"/>
          <w:szCs w:val="24"/>
          <w:lang w:eastAsia="ru-RU"/>
        </w:rPr>
      </w:pPr>
    </w:p>
    <w:p w:rsidR="00FE0474" w:rsidRPr="00B369F9" w:rsidRDefault="00FE0474" w:rsidP="00FE0474">
      <w:pPr>
        <w:pStyle w:val="1"/>
        <w:ind w:firstLine="708"/>
        <w:rPr>
          <w:b w:val="0"/>
        </w:rPr>
      </w:pPr>
      <w:bookmarkStart w:id="16" w:name="_Toc410722869"/>
      <w:bookmarkStart w:id="17" w:name="_Toc163738862"/>
      <w:r w:rsidRPr="00B369F9">
        <w:t>Тарифная политика</w:t>
      </w:r>
      <w:bookmarkEnd w:id="16"/>
      <w:bookmarkEnd w:id="17"/>
    </w:p>
    <w:p w:rsidR="00FE0474" w:rsidRPr="00B369F9" w:rsidRDefault="00FE0474" w:rsidP="00BD2093">
      <w:pPr>
        <w:spacing w:after="0" w:line="240" w:lineRule="auto"/>
        <w:rPr>
          <w:rFonts w:ascii="Times New Roman" w:eastAsia="Times New Roman" w:hAnsi="Times New Roman" w:cs="Times New Roman"/>
          <w:sz w:val="24"/>
          <w:szCs w:val="24"/>
          <w:lang w:eastAsia="ru-RU"/>
        </w:rPr>
      </w:pPr>
    </w:p>
    <w:p w:rsidR="00BD2093" w:rsidRPr="00B369F9" w:rsidRDefault="00BD2093" w:rsidP="00BD2093">
      <w:pPr>
        <w:spacing w:after="0" w:line="240" w:lineRule="auto"/>
        <w:ind w:firstLine="708"/>
        <w:jc w:val="both"/>
        <w:rPr>
          <w:rFonts w:ascii="Times New Roman" w:hAnsi="Times New Roman" w:cs="Times New Roman"/>
          <w:sz w:val="24"/>
          <w:szCs w:val="24"/>
        </w:rPr>
      </w:pPr>
      <w:r w:rsidRPr="00B369F9">
        <w:rPr>
          <w:rFonts w:ascii="Times New Roman" w:eastAsia="Times New Roman" w:hAnsi="Times New Roman" w:cs="Times New Roman"/>
          <w:sz w:val="24"/>
          <w:szCs w:val="24"/>
          <w:lang w:eastAsia="ru-RU"/>
        </w:rPr>
        <w:t>Общество</w:t>
      </w:r>
      <w:r w:rsidRPr="00B369F9">
        <w:rPr>
          <w:rFonts w:ascii="Times New Roman" w:hAnsi="Times New Roman" w:cs="Times New Roman"/>
          <w:sz w:val="24"/>
          <w:szCs w:val="24"/>
        </w:rPr>
        <w:t xml:space="preserve"> начало операционную деятельность с 01.10.2013 в качестве сетевой компании. Основные виды деятельности Общества (передача электрической энергии по распределительным сетям напряжением от 110 до 0,4 кВ, технологическое присоединение потребителей к сетевой инфраструктуре) относятся к регулируемым. В соответствии с Приказом Минэнерго России статус Гарантирующего поставщика на территории Чеченской Республики присвоен Обществу.</w:t>
      </w:r>
    </w:p>
    <w:p w:rsidR="00BD2093" w:rsidRPr="00B369F9" w:rsidRDefault="00BD2093" w:rsidP="00BD2093">
      <w:pPr>
        <w:autoSpaceDE w:val="0"/>
        <w:autoSpaceDN w:val="0"/>
        <w:adjustRightInd w:val="0"/>
        <w:spacing w:after="0" w:line="240" w:lineRule="auto"/>
        <w:ind w:firstLine="708"/>
        <w:jc w:val="both"/>
        <w:outlineLvl w:val="2"/>
        <w:rPr>
          <w:rFonts w:ascii="Times New Roman" w:hAnsi="Times New Roman" w:cs="Times New Roman"/>
          <w:sz w:val="24"/>
          <w:szCs w:val="24"/>
        </w:rPr>
      </w:pPr>
      <w:r w:rsidRPr="00B369F9">
        <w:rPr>
          <w:rFonts w:ascii="Times New Roman" w:hAnsi="Times New Roman" w:cs="Times New Roman"/>
          <w:sz w:val="24"/>
          <w:szCs w:val="24"/>
        </w:rPr>
        <w:t>Регулирование осуществляется в соответствии с:</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Федеральным законом от 26.03.2003 № 35-ФЗ «Об электроэнергетике»;</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29.12.2011 № 1178 «О ценообразовании в области регулируемых цен (тарифов) в элек</w:t>
      </w:r>
      <w:r w:rsidR="00CE40DE">
        <w:rPr>
          <w:rFonts w:ascii="Times New Roman" w:hAnsi="Times New Roman" w:cs="Times New Roman"/>
          <w:sz w:val="24"/>
          <w:szCs w:val="24"/>
        </w:rPr>
        <w:t>т</w:t>
      </w:r>
      <w:r w:rsidRPr="00B369F9">
        <w:rPr>
          <w:rFonts w:ascii="Times New Roman" w:hAnsi="Times New Roman" w:cs="Times New Roman"/>
          <w:sz w:val="24"/>
          <w:szCs w:val="24"/>
        </w:rPr>
        <w:t>роэнергетике» (вместе с «Основами ценообразования в области регулируемых цен (тарифов) в электроэнергетике», «Правилами государственного регулирования (пересмотра, применения) цен (тарифов) в электроэнергетике»);</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28.02.2015 № 184 «Об отнесении владельцев объектов электросетевого хозяйства к территориальным сетевым организациям»;</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27.12.2004 № 861 «Об утверждении правил технологического присоединения энергопринимающих устройств потребителей электрической энергии, объектов по производству электрической энергии, а также объектов электросетевого хозяйства, принадлежащих сетевым организациям и иным лицам, к электрическим сетям»;</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21.01.2004 № 24 «Об утверждении стандартов раскрытия информации субъектами оптового и розничных рынков электрической энергии»;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30.04.2018 № 534 «О внесении изменений в некоторые акты Правительства Российской Федерации в связи с продлением особенностей функционирования оптового и розничных рынков на территории отдельных ценовых зон оптового рынка»;</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 Постановлением Правительства Российской Федерации от 27.12.2010 № 1172 «Об утверждении Правил оптового рынка электрической энергии и мощности и о внесении изменений в некоторые акты Правительства Российской Федерации по вопросам организации функционирования оптового рынка электрической энергии и мощности»;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29.12.2011 № 1179 «Об определении и применении гарантирующими поставщиками нерегулируемых цен на электрическую энергию (мощность)» (вместе с «Правилами определения и применения гарантирующими поставщиками нерегулируемых цен на электрическую энергию (мощность)»);</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30.04.2018 № 533 «Об утверждении Правил рассмотрения (урегулирования) споров и разногласий, связанных с установлением и (или) применением цен (тарифов), о внесении изменений в постановление Правительства Российской Федерации от 9 января 2009 г. N 14 и признании утратившими силу некоторых актов Правительства Российской Федерации»;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Постановлением Правительства Российской Федерации от 31.12.2009 № 1220 «Об определении применяемых при установлении долгосрочных тарифов показателей надежности и качества поставляемых товаров и оказываемых услуг».</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 Приказом Минэнерго России от 29.11.2016 №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 </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Минэнерго России от 13.12.2011 № 585 «Об утверждении Порядка ведения раздельного учета доходов и расходов субъектами естественных монополий в сфере услуг по передаче электрической энергии и оперативно-диспетчерскому управлению в электроэнергетике» (далее • Порядок ведения раздельного учета).</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17.02.2012 № 98-э «Об утверждении методических указаний по расчету тарифов на услуги по передаче электрической энергии, устанавливаемых с применением метода долгосрочной индексации необходимой валовой выручки»;</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30.03.2012 № 228-э «Об утверждении методических указаний по регулированию тарифов с применением метода доходности инвестированного капитала»;</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06.08.2004 № 20-э/2 «Об утверждении методических указаний по расчету регулируемых тарифов и цен на электрическую (тепловую) энергию на розничном (потребительском) рынке»;</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11.09.2014 № 215-э/1 «Об утверждении методических указаний по определению выпадающих доходов, связанных с осуществлением технологического присоединения к электрическим сетям»;</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26.10.2010 № 254-э/1 «Об утверждении Методических указаний по расчету и применению понижающих (повышающих) коэффициентов, позволяющих обеспечить соответствие уровня тарифов, установленных для организаций, осуществляющих регулируемую деятельность, уровню надежности и качества поставляемых товаров и оказываемых услуг».</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 Приказом ФАС России от </w:t>
      </w:r>
      <w:r w:rsidR="00C3046D" w:rsidRPr="00C3046D">
        <w:rPr>
          <w:rFonts w:ascii="Times New Roman" w:hAnsi="Times New Roman" w:cs="Times New Roman"/>
          <w:sz w:val="24"/>
          <w:szCs w:val="24"/>
        </w:rPr>
        <w:t>30.06.2022 № 490/22</w:t>
      </w:r>
      <w:r w:rsidRPr="00B369F9">
        <w:rPr>
          <w:rFonts w:ascii="Times New Roman" w:hAnsi="Times New Roman" w:cs="Times New Roman"/>
          <w:sz w:val="24"/>
          <w:szCs w:val="24"/>
        </w:rPr>
        <w:t xml:space="preserve"> «Об утверждении методических указаний по определению размера платы за технологическое присоединение к электрическим сетям»;</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16.09.2014 № 1442-э «Об утверждении Методических указаний по расчету тарифов на электрическую энергию (мощность) для населения и приравненных к нему категорий потребителей, тарифов на услуги по передаче электрической энергии, поставляемой населению и приравненным к нему категориям потребителей»;</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 Приказом ФСТ России от 18.03.2015 № 421-э «Об утверждении Методических указаний по определению базового уровня операционных, подконтрольных расходов территориальных сетевых организаций, необходимых для осуществления регулируемой деятельности, и индекса эффективности операционных, подконтрольных расходов с применением метода сравнения аналогов»;</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ФСТ России от 12.04.2012 № 53-э/1 «Об утверждении Порядка формирования сводного прогнозного баланса производства и поставок электрической энергии (мощности) в рамках Единой энергетической системы России по субъектам Российской Федерации и Порядка определения отношения суммарного за год прогнозного объема потребления электрической энергии населением и приравненными к нему категориями потребителей к объему электрической энергии, соответствующему среднему за год значению прогнозного объема мощности, определенного в отношении указанных категорий потребителей»;</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ФАС России от 21.11.2017 № 1554/17 «Об утверждении методических указаний по расчету сбытовых надбавок гарантирующих поставщиков с использованием метода сравнения аналогов»;</w:t>
      </w:r>
    </w:p>
    <w:p w:rsidR="00BD2093" w:rsidRPr="00B369F9" w:rsidRDefault="00BD2093" w:rsidP="00BD2093">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Приказом ФАС России от 19.06.2018 № 834/18 «Об утверждении Регламента установления цен (тарифов) и (или) их предельных уровней, предусматривающего порядок регистрации, принятия к рассмотрению и выдачи отказов в рассмотрении заявлений об установлении цен (тарифов) и (или) их предельных уровней, и формы решения органа исполнительной власти субъекта Российской Федерации в области государственного регулирования тарифов»;</w:t>
      </w:r>
    </w:p>
    <w:p w:rsidR="00BD2093" w:rsidRPr="00B369F9" w:rsidRDefault="00BD2093" w:rsidP="00BD2093">
      <w:pPr>
        <w:spacing w:after="0" w:line="240" w:lineRule="auto"/>
        <w:contextualSpacing/>
        <w:jc w:val="both"/>
        <w:rPr>
          <w:rFonts w:ascii="Times New Roman" w:hAnsi="Times New Roman" w:cs="Times New Roman"/>
          <w:b/>
          <w:bCs/>
          <w:sz w:val="24"/>
          <w:szCs w:val="24"/>
        </w:rPr>
      </w:pPr>
    </w:p>
    <w:p w:rsidR="00BD2093" w:rsidRPr="00B369F9" w:rsidRDefault="00BD2093" w:rsidP="00BD2093">
      <w:pPr>
        <w:autoSpaceDE w:val="0"/>
        <w:autoSpaceDN w:val="0"/>
        <w:adjustRightInd w:val="0"/>
        <w:spacing w:after="0" w:line="240" w:lineRule="auto"/>
        <w:ind w:firstLine="708"/>
        <w:jc w:val="both"/>
        <w:outlineLvl w:val="2"/>
        <w:rPr>
          <w:rFonts w:ascii="Times New Roman" w:hAnsi="Times New Roman" w:cs="Times New Roman"/>
          <w:b/>
          <w:sz w:val="24"/>
          <w:szCs w:val="24"/>
        </w:rPr>
      </w:pPr>
      <w:r w:rsidRPr="00B369F9">
        <w:rPr>
          <w:rFonts w:ascii="Times New Roman" w:hAnsi="Times New Roman" w:cs="Times New Roman"/>
          <w:b/>
          <w:sz w:val="24"/>
          <w:szCs w:val="24"/>
        </w:rPr>
        <w:t>Тарифы на услуги по передаче электроэнергии</w:t>
      </w:r>
    </w:p>
    <w:p w:rsidR="00BD2093" w:rsidRPr="00B369F9" w:rsidRDefault="00BD2093" w:rsidP="00BD2093">
      <w:pPr>
        <w:autoSpaceDE w:val="0"/>
        <w:autoSpaceDN w:val="0"/>
        <w:adjustRightInd w:val="0"/>
        <w:spacing w:after="0" w:line="240" w:lineRule="auto"/>
        <w:ind w:firstLine="708"/>
        <w:jc w:val="both"/>
        <w:outlineLvl w:val="2"/>
        <w:rPr>
          <w:rFonts w:ascii="Times New Roman" w:hAnsi="Times New Roman" w:cs="Times New Roman"/>
          <w:sz w:val="24"/>
          <w:szCs w:val="24"/>
        </w:rPr>
      </w:pPr>
      <w:r w:rsidRPr="00B369F9">
        <w:rPr>
          <w:rFonts w:ascii="Times New Roman" w:hAnsi="Times New Roman" w:cs="Times New Roman"/>
          <w:sz w:val="24"/>
          <w:szCs w:val="24"/>
        </w:rPr>
        <w:t>Регулирование деятельности Общества с 2015 года осуществляется с применением метода долгосрочной индексации необходимой валовой выручки на период 2015-2017 гг. С 2018 года утвержден второй долгосрочный период регулирования на 2018-2022 гг. С 2023 по 2027 годы для Общества установлен новый долгосрочной период регулирования с применением метода долгосрочной индексации необходимой валовой выручки</w:t>
      </w:r>
    </w:p>
    <w:p w:rsidR="009A5E23" w:rsidRPr="00B369F9" w:rsidRDefault="009A5E23" w:rsidP="009A5E23">
      <w:pPr>
        <w:tabs>
          <w:tab w:val="left" w:pos="9356"/>
        </w:tabs>
        <w:autoSpaceDE w:val="0"/>
        <w:autoSpaceDN w:val="0"/>
        <w:adjustRightInd w:val="0"/>
        <w:spacing w:after="0" w:line="240" w:lineRule="auto"/>
        <w:jc w:val="center"/>
        <w:outlineLvl w:val="2"/>
        <w:rPr>
          <w:rFonts w:ascii="Times New Roman" w:hAnsi="Times New Roman" w:cs="Times New Roman"/>
          <w:b/>
          <w:sz w:val="24"/>
          <w:szCs w:val="24"/>
        </w:rPr>
      </w:pPr>
    </w:p>
    <w:p w:rsidR="009A5E23" w:rsidRPr="00B369F9" w:rsidRDefault="009A5E23" w:rsidP="009A5E23">
      <w:pPr>
        <w:tabs>
          <w:tab w:val="left" w:pos="9356"/>
        </w:tabs>
        <w:autoSpaceDE w:val="0"/>
        <w:autoSpaceDN w:val="0"/>
        <w:adjustRightInd w:val="0"/>
        <w:spacing w:after="0" w:line="240" w:lineRule="auto"/>
        <w:jc w:val="center"/>
        <w:outlineLvl w:val="2"/>
        <w:rPr>
          <w:rFonts w:ascii="Times New Roman" w:hAnsi="Times New Roman" w:cs="Times New Roman"/>
          <w:b/>
          <w:sz w:val="24"/>
          <w:szCs w:val="24"/>
        </w:rPr>
      </w:pPr>
      <w:r w:rsidRPr="00B369F9">
        <w:rPr>
          <w:rFonts w:ascii="Times New Roman" w:hAnsi="Times New Roman" w:cs="Times New Roman"/>
          <w:b/>
          <w:sz w:val="24"/>
          <w:szCs w:val="24"/>
        </w:rPr>
        <w:t>Динамика структуры НВВ по передаче электрической энергии Общества</w:t>
      </w:r>
    </w:p>
    <w:p w:rsidR="00BD2093" w:rsidRPr="0061502D" w:rsidRDefault="00BD2093" w:rsidP="0061502D">
      <w:pPr>
        <w:tabs>
          <w:tab w:val="left" w:pos="9356"/>
        </w:tabs>
        <w:autoSpaceDE w:val="0"/>
        <w:autoSpaceDN w:val="0"/>
        <w:adjustRightInd w:val="0"/>
        <w:spacing w:after="0" w:line="240" w:lineRule="auto"/>
        <w:jc w:val="both"/>
        <w:outlineLvl w:val="2"/>
        <w:rPr>
          <w:rFonts w:ascii="Times New Roman" w:hAnsi="Times New Roman" w:cs="Times New Roman"/>
          <w:bCs/>
          <w:color w:val="FF0000"/>
          <w:sz w:val="24"/>
          <w:szCs w:val="24"/>
        </w:rPr>
      </w:pPr>
      <w:r w:rsidRPr="00B369F9">
        <w:rPr>
          <w:rFonts w:ascii="Times New Roman" w:hAnsi="Times New Roman" w:cs="Times New Roman"/>
          <w:color w:val="FF0000"/>
          <w:sz w:val="24"/>
          <w:szCs w:val="24"/>
        </w:rPr>
        <w:t xml:space="preserve">       </w:t>
      </w:r>
      <w:r w:rsidR="007C4516" w:rsidRPr="007C4516">
        <w:rPr>
          <w:rFonts w:ascii="Times New Roman" w:hAnsi="Times New Roman" w:cs="Times New Roman"/>
          <w:noProof/>
          <w:color w:val="FF0000"/>
          <w:sz w:val="24"/>
          <w:szCs w:val="24"/>
          <w:lang w:eastAsia="ru-RU"/>
        </w:rPr>
        <w:drawing>
          <wp:inline distT="0" distB="0" distL="0" distR="0" wp14:anchorId="358F2887" wp14:editId="501294B7">
            <wp:extent cx="5400040" cy="1552575"/>
            <wp:effectExtent l="0" t="0" r="0" b="0"/>
            <wp:docPr id="13" name="Диаграмма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Pr="00B369F9">
        <w:rPr>
          <w:rFonts w:ascii="Times New Roman" w:hAnsi="Times New Roman" w:cs="Times New Roman"/>
          <w:sz w:val="24"/>
          <w:szCs w:val="24"/>
        </w:rPr>
        <w:t xml:space="preserve">Собственная НВВ </w:t>
      </w:r>
      <w:r w:rsidR="00324328" w:rsidRPr="00B369F9">
        <w:rPr>
          <w:rFonts w:ascii="Times New Roman" w:hAnsi="Times New Roman" w:cs="Times New Roman"/>
          <w:sz w:val="24"/>
          <w:szCs w:val="24"/>
        </w:rPr>
        <w:t>Общества</w:t>
      </w:r>
      <w:r w:rsidRPr="00B369F9">
        <w:rPr>
          <w:rFonts w:ascii="Times New Roman" w:hAnsi="Times New Roman" w:cs="Times New Roman"/>
          <w:sz w:val="24"/>
          <w:szCs w:val="24"/>
        </w:rPr>
        <w:t xml:space="preserve"> на 2023 год увеличилась относительно 2022 года на 38,2</w:t>
      </w:r>
      <w:r w:rsidR="00324328" w:rsidRPr="00B369F9">
        <w:rPr>
          <w:rFonts w:ascii="Times New Roman" w:hAnsi="Times New Roman" w:cs="Times New Roman"/>
          <w:sz w:val="24"/>
          <w:szCs w:val="24"/>
        </w:rPr>
        <w:t xml:space="preserve"> </w:t>
      </w:r>
      <w:r w:rsidRPr="00B369F9">
        <w:rPr>
          <w:rFonts w:ascii="Times New Roman" w:hAnsi="Times New Roman" w:cs="Times New Roman"/>
          <w:sz w:val="24"/>
          <w:szCs w:val="24"/>
        </w:rPr>
        <w:t>%.</w:t>
      </w:r>
    </w:p>
    <w:p w:rsidR="00BD2093" w:rsidRPr="00B369F9" w:rsidRDefault="00BD2093" w:rsidP="00BD2093">
      <w:pPr>
        <w:autoSpaceDE w:val="0"/>
        <w:autoSpaceDN w:val="0"/>
        <w:adjustRightInd w:val="0"/>
        <w:spacing w:after="0" w:line="240" w:lineRule="auto"/>
        <w:ind w:firstLine="709"/>
        <w:jc w:val="both"/>
        <w:outlineLvl w:val="2"/>
        <w:rPr>
          <w:rFonts w:ascii="Times New Roman" w:hAnsi="Times New Roman" w:cs="Times New Roman"/>
          <w:sz w:val="24"/>
          <w:szCs w:val="24"/>
        </w:rPr>
      </w:pPr>
    </w:p>
    <w:p w:rsidR="007108AB" w:rsidRPr="00B369F9" w:rsidRDefault="007108AB" w:rsidP="007108AB">
      <w:pPr>
        <w:tabs>
          <w:tab w:val="left" w:pos="9356"/>
        </w:tabs>
        <w:autoSpaceDE w:val="0"/>
        <w:autoSpaceDN w:val="0"/>
        <w:adjustRightInd w:val="0"/>
        <w:spacing w:after="0" w:line="240" w:lineRule="auto"/>
        <w:jc w:val="center"/>
        <w:outlineLvl w:val="2"/>
        <w:rPr>
          <w:rFonts w:ascii="Times New Roman" w:hAnsi="Times New Roman" w:cs="Times New Roman"/>
          <w:b/>
          <w:bCs/>
          <w:sz w:val="24"/>
          <w:szCs w:val="24"/>
        </w:rPr>
      </w:pPr>
      <w:r w:rsidRPr="00B369F9">
        <w:rPr>
          <w:rFonts w:ascii="Times New Roman" w:hAnsi="Times New Roman" w:cs="Times New Roman"/>
          <w:b/>
          <w:bCs/>
          <w:sz w:val="24"/>
          <w:szCs w:val="24"/>
        </w:rPr>
        <w:t xml:space="preserve">Анализ изменений среднего тарифа на услуги </w:t>
      </w:r>
    </w:p>
    <w:p w:rsidR="007108AB" w:rsidRPr="00B369F9" w:rsidRDefault="007108AB" w:rsidP="007108AB">
      <w:pPr>
        <w:tabs>
          <w:tab w:val="left" w:pos="9356"/>
        </w:tabs>
        <w:autoSpaceDE w:val="0"/>
        <w:autoSpaceDN w:val="0"/>
        <w:adjustRightInd w:val="0"/>
        <w:spacing w:after="0" w:line="240" w:lineRule="auto"/>
        <w:jc w:val="center"/>
        <w:outlineLvl w:val="2"/>
        <w:rPr>
          <w:rFonts w:ascii="Times New Roman" w:hAnsi="Times New Roman" w:cs="Times New Roman"/>
          <w:b/>
          <w:bCs/>
          <w:sz w:val="24"/>
          <w:szCs w:val="24"/>
        </w:rPr>
      </w:pPr>
      <w:r w:rsidRPr="00B369F9">
        <w:rPr>
          <w:rFonts w:ascii="Times New Roman" w:hAnsi="Times New Roman" w:cs="Times New Roman"/>
          <w:b/>
          <w:bCs/>
          <w:sz w:val="24"/>
          <w:szCs w:val="24"/>
        </w:rPr>
        <w:t>по передаче электрической, руб./ кВт∙ч</w:t>
      </w:r>
    </w:p>
    <w:tbl>
      <w:tblPr>
        <w:tblW w:w="61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48"/>
        <w:gridCol w:w="2048"/>
        <w:gridCol w:w="2048"/>
      </w:tblGrid>
      <w:tr w:rsidR="007108AB" w:rsidRPr="00B369F9" w:rsidTr="00F14239">
        <w:trPr>
          <w:trHeight w:val="304"/>
          <w:jc w:val="center"/>
        </w:trPr>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
                <w:sz w:val="24"/>
                <w:szCs w:val="24"/>
              </w:rPr>
            </w:pPr>
            <w:r w:rsidRPr="00B369F9">
              <w:rPr>
                <w:rFonts w:ascii="Times New Roman" w:hAnsi="Times New Roman" w:cs="Times New Roman"/>
                <w:b/>
                <w:sz w:val="24"/>
                <w:szCs w:val="24"/>
              </w:rPr>
              <w:t>2021</w:t>
            </w:r>
          </w:p>
        </w:tc>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
                <w:sz w:val="24"/>
                <w:szCs w:val="24"/>
              </w:rPr>
            </w:pPr>
            <w:r w:rsidRPr="00B369F9">
              <w:rPr>
                <w:rFonts w:ascii="Times New Roman" w:hAnsi="Times New Roman" w:cs="Times New Roman"/>
                <w:b/>
                <w:sz w:val="24"/>
                <w:szCs w:val="24"/>
              </w:rPr>
              <w:t>2022</w:t>
            </w:r>
          </w:p>
        </w:tc>
        <w:tc>
          <w:tcPr>
            <w:tcW w:w="2048" w:type="dxa"/>
            <w:shd w:val="clear" w:color="auto" w:fill="auto"/>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
                <w:sz w:val="24"/>
                <w:szCs w:val="24"/>
              </w:rPr>
            </w:pPr>
            <w:r w:rsidRPr="00B369F9">
              <w:rPr>
                <w:rFonts w:ascii="Times New Roman" w:hAnsi="Times New Roman" w:cs="Times New Roman"/>
                <w:b/>
                <w:sz w:val="24"/>
                <w:szCs w:val="24"/>
              </w:rPr>
              <w:t>2023</w:t>
            </w:r>
          </w:p>
        </w:tc>
      </w:tr>
      <w:tr w:rsidR="007108AB" w:rsidRPr="00B369F9" w:rsidTr="00F14239">
        <w:trPr>
          <w:trHeight w:val="258"/>
          <w:jc w:val="center"/>
        </w:trPr>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1,69</w:t>
            </w:r>
          </w:p>
        </w:tc>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1,54</w:t>
            </w:r>
          </w:p>
        </w:tc>
        <w:tc>
          <w:tcPr>
            <w:tcW w:w="2048" w:type="dxa"/>
            <w:shd w:val="clear" w:color="auto" w:fill="auto"/>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1,86</w:t>
            </w:r>
          </w:p>
        </w:tc>
      </w:tr>
      <w:tr w:rsidR="007108AB" w:rsidRPr="00B369F9" w:rsidTr="00F14239">
        <w:trPr>
          <w:trHeight w:val="304"/>
          <w:jc w:val="center"/>
        </w:trPr>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99,2 %</w:t>
            </w:r>
          </w:p>
        </w:tc>
        <w:tc>
          <w:tcPr>
            <w:tcW w:w="2048" w:type="dxa"/>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91,2 %</w:t>
            </w:r>
          </w:p>
        </w:tc>
        <w:tc>
          <w:tcPr>
            <w:tcW w:w="2048" w:type="dxa"/>
            <w:shd w:val="clear" w:color="auto" w:fill="auto"/>
          </w:tcPr>
          <w:p w:rsidR="007108AB" w:rsidRPr="00B369F9" w:rsidRDefault="007108AB" w:rsidP="00F14239">
            <w:pPr>
              <w:tabs>
                <w:tab w:val="left" w:pos="9356"/>
              </w:tabs>
              <w:autoSpaceDE w:val="0"/>
              <w:autoSpaceDN w:val="0"/>
              <w:adjustRightInd w:val="0"/>
              <w:spacing w:after="0" w:line="240" w:lineRule="auto"/>
              <w:ind w:left="-426" w:firstLine="284"/>
              <w:jc w:val="center"/>
              <w:outlineLvl w:val="2"/>
              <w:rPr>
                <w:rFonts w:ascii="Times New Roman" w:hAnsi="Times New Roman" w:cs="Times New Roman"/>
                <w:bCs/>
                <w:sz w:val="24"/>
                <w:szCs w:val="24"/>
              </w:rPr>
            </w:pPr>
            <w:r w:rsidRPr="00B369F9">
              <w:rPr>
                <w:rFonts w:ascii="Times New Roman" w:hAnsi="Times New Roman" w:cs="Times New Roman"/>
                <w:bCs/>
                <w:sz w:val="24"/>
                <w:szCs w:val="24"/>
              </w:rPr>
              <w:t>21,0 %</w:t>
            </w:r>
          </w:p>
        </w:tc>
      </w:tr>
    </w:tbl>
    <w:p w:rsidR="007108AB" w:rsidRPr="00B369F9" w:rsidRDefault="007108AB" w:rsidP="007108AB">
      <w:pPr>
        <w:autoSpaceDE w:val="0"/>
        <w:autoSpaceDN w:val="0"/>
        <w:adjustRightInd w:val="0"/>
        <w:spacing w:after="0" w:line="240" w:lineRule="auto"/>
        <w:ind w:firstLine="709"/>
        <w:jc w:val="both"/>
        <w:outlineLvl w:val="2"/>
        <w:rPr>
          <w:rFonts w:ascii="Times New Roman" w:hAnsi="Times New Roman" w:cs="Times New Roman"/>
          <w:sz w:val="24"/>
          <w:szCs w:val="24"/>
        </w:rPr>
      </w:pPr>
    </w:p>
    <w:p w:rsidR="007108AB" w:rsidRPr="00B369F9" w:rsidRDefault="007108AB" w:rsidP="007108AB">
      <w:pPr>
        <w:autoSpaceDE w:val="0"/>
        <w:autoSpaceDN w:val="0"/>
        <w:adjustRightInd w:val="0"/>
        <w:spacing w:after="0" w:line="240" w:lineRule="auto"/>
        <w:ind w:firstLine="708"/>
        <w:jc w:val="both"/>
        <w:outlineLvl w:val="2"/>
        <w:rPr>
          <w:rFonts w:ascii="Times New Roman" w:hAnsi="Times New Roman" w:cs="Times New Roman"/>
          <w:bCs/>
          <w:sz w:val="24"/>
          <w:szCs w:val="24"/>
        </w:rPr>
      </w:pPr>
      <w:r w:rsidRPr="00B369F9">
        <w:rPr>
          <w:rFonts w:ascii="Times New Roman" w:hAnsi="Times New Roman" w:cs="Times New Roman"/>
          <w:bCs/>
          <w:sz w:val="24"/>
          <w:szCs w:val="24"/>
        </w:rPr>
        <w:t>Прирост среднего тарифа на услуги по передаче электрической энергии в 2023 году Общества составил 21,0 %.</w:t>
      </w:r>
      <w:r w:rsidRPr="00B369F9">
        <w:rPr>
          <w:rFonts w:ascii="Times New Roman" w:hAnsi="Times New Roman" w:cs="Times New Roman"/>
          <w:sz w:val="24"/>
          <w:szCs w:val="24"/>
        </w:rPr>
        <w:t xml:space="preserve"> </w:t>
      </w:r>
    </w:p>
    <w:p w:rsidR="00BD2093" w:rsidRPr="00B369F9" w:rsidRDefault="00BD2093" w:rsidP="00B966E8">
      <w:pPr>
        <w:spacing w:after="0" w:line="240" w:lineRule="auto"/>
        <w:ind w:firstLine="708"/>
        <w:contextualSpacing/>
        <w:jc w:val="both"/>
        <w:rPr>
          <w:rFonts w:ascii="Times New Roman" w:hAnsi="Times New Roman" w:cs="Times New Roman"/>
          <w:b/>
          <w:bCs/>
          <w:sz w:val="24"/>
          <w:szCs w:val="24"/>
        </w:rPr>
      </w:pPr>
      <w:r w:rsidRPr="00B369F9">
        <w:rPr>
          <w:rFonts w:ascii="Times New Roman" w:hAnsi="Times New Roman" w:cs="Times New Roman"/>
          <w:bCs/>
          <w:sz w:val="24"/>
          <w:szCs w:val="24"/>
        </w:rPr>
        <w:lastRenderedPageBreak/>
        <w:t>При этом единые (котловые) тарифы на услуги по передаче электрической энергии, оказываемым потребителям на территории Чеченской Республики, установлены с 01.01.2023 по 31.12.2023 с приростом от действующих тарифов 2022</w:t>
      </w:r>
      <w:r w:rsidR="00B966E8" w:rsidRPr="00B369F9">
        <w:rPr>
          <w:rFonts w:ascii="Times New Roman" w:hAnsi="Times New Roman" w:cs="Times New Roman"/>
          <w:bCs/>
          <w:sz w:val="24"/>
          <w:szCs w:val="24"/>
        </w:rPr>
        <w:t xml:space="preserve"> </w:t>
      </w:r>
      <w:r w:rsidRPr="00B369F9">
        <w:rPr>
          <w:rFonts w:ascii="Times New Roman" w:hAnsi="Times New Roman" w:cs="Times New Roman"/>
          <w:bCs/>
          <w:sz w:val="24"/>
          <w:szCs w:val="24"/>
        </w:rPr>
        <w:t>г</w:t>
      </w:r>
      <w:r w:rsidR="00B966E8" w:rsidRPr="00B369F9">
        <w:rPr>
          <w:rFonts w:ascii="Times New Roman" w:hAnsi="Times New Roman" w:cs="Times New Roman"/>
          <w:bCs/>
          <w:sz w:val="24"/>
          <w:szCs w:val="24"/>
        </w:rPr>
        <w:t>ода</w:t>
      </w:r>
      <w:r w:rsidRPr="00B369F9">
        <w:rPr>
          <w:rFonts w:ascii="Times New Roman" w:hAnsi="Times New Roman" w:cs="Times New Roman"/>
          <w:bCs/>
          <w:sz w:val="24"/>
          <w:szCs w:val="24"/>
        </w:rPr>
        <w:t xml:space="preserve"> на уровне 9</w:t>
      </w:r>
      <w:r w:rsidR="00B966E8" w:rsidRPr="00B369F9">
        <w:rPr>
          <w:rFonts w:ascii="Times New Roman" w:hAnsi="Times New Roman" w:cs="Times New Roman"/>
          <w:bCs/>
          <w:sz w:val="24"/>
          <w:szCs w:val="24"/>
        </w:rPr>
        <w:t> </w:t>
      </w:r>
      <w:r w:rsidRPr="00B369F9">
        <w:rPr>
          <w:rFonts w:ascii="Times New Roman" w:hAnsi="Times New Roman" w:cs="Times New Roman"/>
          <w:bCs/>
          <w:sz w:val="24"/>
          <w:szCs w:val="24"/>
        </w:rPr>
        <w:t xml:space="preserve">%, предусмотренном параметрами </w:t>
      </w:r>
      <w:r w:rsidR="00CE40DE">
        <w:rPr>
          <w:rFonts w:ascii="Times New Roman" w:hAnsi="Times New Roman" w:cs="Times New Roman"/>
          <w:bCs/>
          <w:sz w:val="24"/>
          <w:szCs w:val="24"/>
        </w:rPr>
        <w:t>п</w:t>
      </w:r>
      <w:r w:rsidRPr="00B369F9">
        <w:rPr>
          <w:rFonts w:ascii="Times New Roman" w:hAnsi="Times New Roman" w:cs="Times New Roman"/>
          <w:bCs/>
          <w:sz w:val="24"/>
          <w:szCs w:val="24"/>
        </w:rPr>
        <w:t>остановления Правительства Р</w:t>
      </w:r>
      <w:r w:rsidR="00B966E8" w:rsidRPr="00B369F9">
        <w:rPr>
          <w:rFonts w:ascii="Times New Roman" w:hAnsi="Times New Roman" w:cs="Times New Roman"/>
          <w:bCs/>
          <w:sz w:val="24"/>
          <w:szCs w:val="24"/>
        </w:rPr>
        <w:t xml:space="preserve">оссийской </w:t>
      </w:r>
      <w:r w:rsidRPr="00B369F9">
        <w:rPr>
          <w:rFonts w:ascii="Times New Roman" w:hAnsi="Times New Roman" w:cs="Times New Roman"/>
          <w:bCs/>
          <w:sz w:val="24"/>
          <w:szCs w:val="24"/>
        </w:rPr>
        <w:t>Ф</w:t>
      </w:r>
      <w:r w:rsidR="00B966E8" w:rsidRPr="00B369F9">
        <w:rPr>
          <w:rFonts w:ascii="Times New Roman" w:hAnsi="Times New Roman" w:cs="Times New Roman"/>
          <w:bCs/>
          <w:sz w:val="24"/>
          <w:szCs w:val="24"/>
        </w:rPr>
        <w:t>едерации</w:t>
      </w:r>
      <w:r w:rsidRPr="00B369F9">
        <w:rPr>
          <w:rFonts w:ascii="Times New Roman" w:hAnsi="Times New Roman" w:cs="Times New Roman"/>
          <w:bCs/>
          <w:sz w:val="24"/>
          <w:szCs w:val="24"/>
        </w:rPr>
        <w:t xml:space="preserve"> от 14.11.2022 № 2053. </w:t>
      </w:r>
    </w:p>
    <w:p w:rsidR="00832D2D" w:rsidRPr="00B369F9" w:rsidRDefault="00832D2D" w:rsidP="00BD2093">
      <w:pPr>
        <w:spacing w:after="0" w:line="240" w:lineRule="auto"/>
        <w:contextualSpacing/>
        <w:jc w:val="both"/>
        <w:rPr>
          <w:rFonts w:ascii="Times New Roman" w:hAnsi="Times New Roman" w:cs="Times New Roman"/>
          <w:b/>
          <w:bCs/>
          <w:sz w:val="24"/>
          <w:szCs w:val="24"/>
        </w:rPr>
      </w:pPr>
    </w:p>
    <w:p w:rsidR="00BD2093" w:rsidRPr="00B369F9" w:rsidRDefault="00BD2093" w:rsidP="00B966E8">
      <w:pPr>
        <w:spacing w:after="0" w:line="240" w:lineRule="auto"/>
        <w:ind w:firstLine="708"/>
        <w:contextualSpacing/>
        <w:jc w:val="both"/>
        <w:rPr>
          <w:rFonts w:ascii="Times New Roman" w:hAnsi="Times New Roman" w:cs="Times New Roman"/>
          <w:b/>
          <w:bCs/>
          <w:sz w:val="24"/>
          <w:szCs w:val="24"/>
        </w:rPr>
      </w:pPr>
      <w:r w:rsidRPr="00B369F9">
        <w:rPr>
          <w:rFonts w:ascii="Times New Roman" w:hAnsi="Times New Roman" w:cs="Times New Roman"/>
          <w:b/>
          <w:bCs/>
          <w:sz w:val="24"/>
          <w:szCs w:val="24"/>
        </w:rPr>
        <w:t>Плата за технологическое присоединение</w:t>
      </w:r>
    </w:p>
    <w:p w:rsidR="00BD2093" w:rsidRPr="00B369F9" w:rsidRDefault="00BD2093" w:rsidP="00BD2093">
      <w:pPr>
        <w:spacing w:after="0" w:line="240" w:lineRule="auto"/>
        <w:contextualSpacing/>
        <w:jc w:val="both"/>
        <w:rPr>
          <w:rFonts w:ascii="Times New Roman" w:hAnsi="Times New Roman" w:cs="Times New Roman"/>
          <w:b/>
          <w:bCs/>
          <w:sz w:val="24"/>
          <w:szCs w:val="24"/>
        </w:rPr>
      </w:pPr>
    </w:p>
    <w:p w:rsidR="00BD2093" w:rsidRPr="00B369F9" w:rsidRDefault="00BD2093" w:rsidP="00B966E8">
      <w:pPr>
        <w:autoSpaceDE w:val="0"/>
        <w:autoSpaceDN w:val="0"/>
        <w:adjustRightInd w:val="0"/>
        <w:spacing w:after="0" w:line="240" w:lineRule="auto"/>
        <w:ind w:firstLine="708"/>
        <w:jc w:val="both"/>
        <w:rPr>
          <w:rFonts w:ascii="Times New Roman" w:hAnsi="Times New Roman" w:cs="Times New Roman"/>
          <w:sz w:val="24"/>
          <w:szCs w:val="24"/>
        </w:rPr>
      </w:pPr>
      <w:r w:rsidRPr="00B369F9">
        <w:rPr>
          <w:rFonts w:ascii="Times New Roman" w:hAnsi="Times New Roman" w:cs="Times New Roman"/>
          <w:sz w:val="24"/>
          <w:szCs w:val="24"/>
        </w:rPr>
        <w:t>На 2023 год в соответствии с Методическими указаниями по определению размера платы за технологическое присоединение к электрическим сетям, утвержденными приказом ФАС России от 30.06.2022 №490/22 (далее – Методические указания 490/22) установлены стандартизированные тарифные ставки,  льготные ставки за 1 кВт запрашиваемой максимальной мощности, предусмотренные абзацем восьмым пункта 87 Основ ценообразования в области регулируемых цен (тарифов) в электроэнергетике, утвержденных постановлением Правитель</w:t>
      </w:r>
      <w:r w:rsidR="00B966E8" w:rsidRPr="00B369F9">
        <w:rPr>
          <w:rFonts w:ascii="Times New Roman" w:hAnsi="Times New Roman" w:cs="Times New Roman"/>
          <w:sz w:val="24"/>
          <w:szCs w:val="24"/>
        </w:rPr>
        <w:t>ства Российской Федерации от 29.12.</w:t>
      </w:r>
      <w:r w:rsidRPr="00B369F9">
        <w:rPr>
          <w:rFonts w:ascii="Times New Roman" w:hAnsi="Times New Roman" w:cs="Times New Roman"/>
          <w:sz w:val="24"/>
          <w:szCs w:val="24"/>
        </w:rPr>
        <w:t>2011 №</w:t>
      </w:r>
      <w:r w:rsidR="00B966E8" w:rsidRPr="00B369F9">
        <w:rPr>
          <w:rFonts w:ascii="Times New Roman" w:hAnsi="Times New Roman" w:cs="Times New Roman"/>
          <w:sz w:val="24"/>
          <w:szCs w:val="24"/>
        </w:rPr>
        <w:t> </w:t>
      </w:r>
      <w:r w:rsidRPr="00B369F9">
        <w:rPr>
          <w:rFonts w:ascii="Times New Roman" w:hAnsi="Times New Roman" w:cs="Times New Roman"/>
          <w:sz w:val="24"/>
          <w:szCs w:val="24"/>
        </w:rPr>
        <w:t>1178 и формулы для расчета размера платы за технологическое присоединение энергопринимающих устройств:</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решением Правления Государственного комитета цен и тарифов Чеченской Республики от 22.11.2022 № 136-э «Об установлении стандартизированных тарифных ставок платы за технологическое присоединение заявителей к электрическим сетям территориальных сетевых организаций Чеченс</w:t>
      </w:r>
      <w:r w:rsidR="00B966E8" w:rsidRPr="00B369F9">
        <w:rPr>
          <w:rFonts w:ascii="Times New Roman" w:hAnsi="Times New Roman" w:cs="Times New Roman"/>
          <w:sz w:val="24"/>
          <w:szCs w:val="24"/>
        </w:rPr>
        <w:t>кой Республики» (с изменениями);</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решением Правления Государственного комитета цен и тарифов Чеченской Республики от 22.11.2022 № 138-э «Об установлении стоимости льготной ставки за технологическое присоединение заявителей к электрическим сетям территориальных сетевых организаций Чеченской Республики на 2023 год». </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Льготная ставка для заявителей Чеченской республики установлена за 1 кВт присоединяемой мощности: </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 с 01.01.2023 в размере 3 192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(с НДС);</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 с 01.07.2023 в размере 4 256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(с НДС).</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При этом для физических лиц, относящихся к социально незащищенным категориям (малообеспеченные семьи, ветераны, инвалиды, чернобыльцы, многодетные семьи) плата за присоединение объектов мощностью до 15 кВт установлена в размере 1 064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(с НДС) за 1 кВт запрашиваемой мощности.</w:t>
      </w:r>
    </w:p>
    <w:p w:rsidR="00BD2093" w:rsidRPr="00B369F9" w:rsidRDefault="00BD2093" w:rsidP="00B966E8">
      <w:pPr>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соответствии с Методическими указаниями 490/22 ставки платы устанавливались в зависимости от вида используемого материала и (или) способа выполнения работ в ценах периода регулирования едиными для всех территориальных сетевых организаций по субъекту Российской Федерации.</w:t>
      </w:r>
    </w:p>
    <w:p w:rsidR="00BD2093" w:rsidRPr="00B369F9" w:rsidRDefault="00BD2093" w:rsidP="00B966E8">
      <w:pPr>
        <w:spacing w:after="0" w:line="240" w:lineRule="auto"/>
        <w:ind w:firstLine="709"/>
        <w:contextualSpacing/>
        <w:jc w:val="both"/>
        <w:rPr>
          <w:rFonts w:ascii="Times New Roman" w:hAnsi="Times New Roman" w:cs="Times New Roman"/>
          <w:bCs/>
          <w:sz w:val="24"/>
          <w:szCs w:val="24"/>
        </w:rPr>
      </w:pPr>
      <w:r w:rsidRPr="00B369F9">
        <w:rPr>
          <w:rFonts w:ascii="Times New Roman" w:hAnsi="Times New Roman" w:cs="Times New Roman"/>
          <w:bCs/>
          <w:sz w:val="24"/>
          <w:szCs w:val="24"/>
        </w:rPr>
        <w:t>В графике отражается динамика изменения среднего размера ставки платы за единицу мощности в диапазоне мощности от 15 кВт до 670 кВт.</w:t>
      </w:r>
    </w:p>
    <w:p w:rsidR="00BD2093" w:rsidRPr="00B369F9" w:rsidRDefault="00BD2093" w:rsidP="00BD2093">
      <w:pPr>
        <w:spacing w:after="0" w:line="240" w:lineRule="auto"/>
        <w:contextualSpacing/>
        <w:jc w:val="both"/>
        <w:rPr>
          <w:rFonts w:ascii="Times New Roman" w:hAnsi="Times New Roman" w:cs="Times New Roman"/>
          <w:bCs/>
          <w:sz w:val="24"/>
          <w:szCs w:val="24"/>
        </w:rPr>
      </w:pPr>
    </w:p>
    <w:p w:rsidR="00BD2093" w:rsidRPr="00B369F9" w:rsidRDefault="00BD2093" w:rsidP="00BD2093">
      <w:pPr>
        <w:autoSpaceDE w:val="0"/>
        <w:autoSpaceDN w:val="0"/>
        <w:adjustRightInd w:val="0"/>
        <w:spacing w:after="0" w:line="240" w:lineRule="auto"/>
        <w:jc w:val="center"/>
        <w:outlineLvl w:val="2"/>
        <w:rPr>
          <w:rFonts w:ascii="Times New Roman" w:hAnsi="Times New Roman" w:cs="Times New Roman"/>
          <w:b/>
          <w:bCs/>
          <w:sz w:val="24"/>
          <w:szCs w:val="24"/>
        </w:rPr>
      </w:pPr>
      <w:r w:rsidRPr="00B369F9">
        <w:rPr>
          <w:rFonts w:ascii="Times New Roman" w:hAnsi="Times New Roman" w:cs="Times New Roman"/>
          <w:b/>
          <w:bCs/>
          <w:sz w:val="24"/>
          <w:szCs w:val="24"/>
        </w:rPr>
        <w:t>Динамика среднего размера платы за ТП</w:t>
      </w:r>
    </w:p>
    <w:p w:rsidR="00BD2093" w:rsidRPr="00B369F9" w:rsidRDefault="00BD2093" w:rsidP="00BD2093">
      <w:pPr>
        <w:autoSpaceDE w:val="0"/>
        <w:autoSpaceDN w:val="0"/>
        <w:adjustRightInd w:val="0"/>
        <w:spacing w:after="0" w:line="240" w:lineRule="auto"/>
        <w:ind w:left="-426" w:firstLine="284"/>
        <w:jc w:val="both"/>
        <w:outlineLvl w:val="2"/>
        <w:rPr>
          <w:rFonts w:ascii="Times New Roman" w:hAnsi="Times New Roman" w:cs="Times New Roman"/>
          <w:bCs/>
          <w:sz w:val="24"/>
          <w:szCs w:val="24"/>
        </w:rPr>
      </w:pPr>
      <w:r w:rsidRPr="00B369F9">
        <w:rPr>
          <w:rFonts w:ascii="Times New Roman" w:hAnsi="Times New Roman" w:cs="Times New Roman"/>
          <w:bCs/>
          <w:sz w:val="24"/>
          <w:szCs w:val="24"/>
        </w:rPr>
        <w:t xml:space="preserve">                </w:t>
      </w:r>
      <w:r w:rsidRPr="00B369F9">
        <w:rPr>
          <w:rFonts w:ascii="Times New Roman" w:hAnsi="Times New Roman" w:cs="Times New Roman"/>
          <w:b/>
          <w:noProof/>
          <w:sz w:val="24"/>
          <w:szCs w:val="24"/>
          <w:lang w:eastAsia="ru-RU"/>
        </w:rPr>
        <w:drawing>
          <wp:inline distT="0" distB="0" distL="0" distR="0" wp14:anchorId="40886CF0" wp14:editId="5719A73B">
            <wp:extent cx="5305425" cy="966158"/>
            <wp:effectExtent l="0" t="0" r="0" b="5715"/>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D2093" w:rsidRPr="00B369F9" w:rsidRDefault="00BD2093" w:rsidP="00BD2093">
      <w:pPr>
        <w:spacing w:after="0" w:line="240" w:lineRule="auto"/>
        <w:jc w:val="both"/>
        <w:rPr>
          <w:rFonts w:ascii="Times New Roman" w:hAnsi="Times New Roman" w:cs="Times New Roman"/>
          <w:sz w:val="24"/>
          <w:szCs w:val="24"/>
        </w:rPr>
      </w:pPr>
    </w:p>
    <w:p w:rsidR="00BD2093" w:rsidRPr="00B369F9" w:rsidRDefault="00BD2093" w:rsidP="00B966E8">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Снижение ставки платы за единицу мощности в 2023 году в отличие от 2022 года обусловлено увеличением присоединенной мощности на 25</w:t>
      </w:r>
      <w:r w:rsidR="00B966E8"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 xml:space="preserve">% по отношению к 2022 году. При этом в соответствии с действующим законодательством с 2023 года органами регулирования не устанавливаются ставки за единицу максимальной мощности для расчета </w:t>
      </w:r>
      <w:r w:rsidRPr="00B369F9">
        <w:rPr>
          <w:rFonts w:ascii="Times New Roman" w:eastAsia="Calibri" w:hAnsi="Times New Roman" w:cs="Times New Roman"/>
          <w:sz w:val="24"/>
          <w:szCs w:val="24"/>
        </w:rPr>
        <w:lastRenderedPageBreak/>
        <w:t xml:space="preserve">платы за технологическое присоединение, что повлияло на размер выручки за технологическое присоединение в 2023 году. </w:t>
      </w:r>
    </w:p>
    <w:p w:rsidR="00BD2093" w:rsidRPr="00B369F9" w:rsidRDefault="00BD2093" w:rsidP="00BD2093">
      <w:pPr>
        <w:spacing w:after="0" w:line="240" w:lineRule="auto"/>
        <w:rPr>
          <w:rFonts w:ascii="Times New Roman" w:hAnsi="Times New Roman" w:cs="Times New Roman"/>
          <w:color w:val="FF0000"/>
          <w:sz w:val="24"/>
          <w:szCs w:val="24"/>
        </w:rPr>
      </w:pPr>
    </w:p>
    <w:tbl>
      <w:tblPr>
        <w:tblStyle w:val="af3"/>
        <w:tblW w:w="10769" w:type="dxa"/>
        <w:jc w:val="center"/>
        <w:tblLayout w:type="fixed"/>
        <w:tblLook w:val="04A0" w:firstRow="1" w:lastRow="0" w:firstColumn="1" w:lastColumn="0" w:noHBand="0" w:noVBand="1"/>
      </w:tblPr>
      <w:tblGrid>
        <w:gridCol w:w="5382"/>
        <w:gridCol w:w="979"/>
        <w:gridCol w:w="1006"/>
        <w:gridCol w:w="992"/>
        <w:gridCol w:w="992"/>
        <w:gridCol w:w="1418"/>
      </w:tblGrid>
      <w:tr w:rsidR="00BD2093" w:rsidRPr="00BF4136" w:rsidTr="009A52C2">
        <w:trPr>
          <w:trHeight w:val="20"/>
          <w:jc w:val="center"/>
        </w:trPr>
        <w:tc>
          <w:tcPr>
            <w:tcW w:w="5382"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bCs/>
              </w:rPr>
              <w:t>Показатели</w:t>
            </w:r>
          </w:p>
        </w:tc>
        <w:tc>
          <w:tcPr>
            <w:tcW w:w="979"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bCs/>
              </w:rPr>
              <w:t>Ед. изм.</w:t>
            </w:r>
          </w:p>
        </w:tc>
        <w:tc>
          <w:tcPr>
            <w:tcW w:w="4408" w:type="dxa"/>
            <w:gridSpan w:val="4"/>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t>2021-2023 гг.</w:t>
            </w:r>
          </w:p>
        </w:tc>
      </w:tr>
      <w:tr w:rsidR="00BD2093" w:rsidRPr="00BF4136" w:rsidTr="009A52C2">
        <w:trPr>
          <w:trHeight w:val="450"/>
          <w:jc w:val="center"/>
        </w:trPr>
        <w:tc>
          <w:tcPr>
            <w:tcW w:w="5382"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1006"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bCs/>
              </w:rPr>
              <w:t>2021 год</w:t>
            </w:r>
          </w:p>
        </w:tc>
        <w:tc>
          <w:tcPr>
            <w:tcW w:w="992"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bCs/>
              </w:rPr>
              <w:t>2022 год</w:t>
            </w:r>
          </w:p>
        </w:tc>
        <w:tc>
          <w:tcPr>
            <w:tcW w:w="992"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bCs/>
              </w:rPr>
              <w:t>2023 год</w:t>
            </w:r>
          </w:p>
        </w:tc>
        <w:tc>
          <w:tcPr>
            <w:tcW w:w="1418" w:type="dxa"/>
            <w:vMerge w:val="restart"/>
            <w:tcBorders>
              <w:top w:val="single" w:sz="4" w:space="0" w:color="auto"/>
              <w:left w:val="single" w:sz="4" w:space="0" w:color="auto"/>
              <w:bottom w:val="single" w:sz="4" w:space="0" w:color="auto"/>
              <w:right w:val="single" w:sz="4" w:space="0" w:color="auto"/>
            </w:tcBorders>
            <w:hideMark/>
          </w:tcPr>
          <w:p w:rsidR="00BD2093" w:rsidRPr="00BF4136" w:rsidRDefault="00BD2093" w:rsidP="00A12F59">
            <w:pPr>
              <w:tabs>
                <w:tab w:val="left" w:pos="993"/>
              </w:tabs>
              <w:suppressAutoHyphens/>
              <w:spacing w:after="0" w:line="240" w:lineRule="auto"/>
              <w:jc w:val="center"/>
              <w:rPr>
                <w:b/>
                <w:bCs/>
              </w:rPr>
            </w:pPr>
            <w:r w:rsidRPr="00BF4136">
              <w:rPr>
                <w:b/>
              </w:rPr>
              <w:t>изменение 2023/2022,</w:t>
            </w:r>
            <w:r w:rsidRPr="00BF4136">
              <w:rPr>
                <w:b/>
                <w:bCs/>
              </w:rPr>
              <w:t>%</w:t>
            </w:r>
          </w:p>
        </w:tc>
      </w:tr>
      <w:tr w:rsidR="00BD2093" w:rsidRPr="00BF4136" w:rsidTr="009A52C2">
        <w:trPr>
          <w:trHeight w:val="450"/>
          <w:jc w:val="center"/>
        </w:trPr>
        <w:tc>
          <w:tcPr>
            <w:tcW w:w="5382"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979"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1006"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BD2093" w:rsidRPr="00BF4136" w:rsidRDefault="00BD2093" w:rsidP="00A12F59">
            <w:pPr>
              <w:suppressAutoHyphens/>
              <w:spacing w:after="0" w:line="240" w:lineRule="auto"/>
              <w:rPr>
                <w:b/>
                <w:bCs/>
              </w:rPr>
            </w:pPr>
          </w:p>
        </w:tc>
      </w:tr>
      <w:tr w:rsidR="00774466" w:rsidRPr="00BF4136" w:rsidTr="009A52C2">
        <w:trPr>
          <w:trHeight w:val="20"/>
          <w:jc w:val="center"/>
        </w:trPr>
        <w:tc>
          <w:tcPr>
            <w:tcW w:w="5382" w:type="dxa"/>
            <w:tcBorders>
              <w:top w:val="single" w:sz="4" w:space="0" w:color="auto"/>
              <w:left w:val="single" w:sz="4" w:space="0" w:color="auto"/>
              <w:bottom w:val="single" w:sz="4" w:space="0" w:color="auto"/>
              <w:right w:val="single" w:sz="4" w:space="0" w:color="auto"/>
            </w:tcBorders>
            <w:hideMark/>
          </w:tcPr>
          <w:p w:rsidR="00774466" w:rsidRDefault="00774466" w:rsidP="00774466">
            <w:pPr>
              <w:tabs>
                <w:tab w:val="left" w:pos="993"/>
              </w:tabs>
              <w:spacing w:after="0" w:line="240" w:lineRule="auto"/>
              <w:jc w:val="both"/>
            </w:pPr>
            <w:r>
              <w:t xml:space="preserve">Стандартизированные тарифные ставки на покрытие расходов на технологическое присоединение энергопринимающих устройств потребителей электрической энергии, объектов электросетевого хозяйства, принадлежащих сетевым организациям и иным лицам, по мероприятиям, указанным </w:t>
            </w:r>
            <w:r>
              <w:rPr>
                <w:rFonts w:eastAsia="Calibri"/>
                <w:sz w:val="18"/>
                <w:szCs w:val="18"/>
              </w:rPr>
              <w:t xml:space="preserve">подпунктами "а" и "в" пункта  16 </w:t>
            </w:r>
            <w:r>
              <w:t xml:space="preserve"> Методических указаний ФАС России</w:t>
            </w:r>
          </w:p>
        </w:tc>
        <w:tc>
          <w:tcPr>
            <w:tcW w:w="979" w:type="dxa"/>
            <w:tcBorders>
              <w:top w:val="single" w:sz="4" w:space="0" w:color="auto"/>
              <w:left w:val="single" w:sz="4" w:space="0" w:color="auto"/>
              <w:bottom w:val="single" w:sz="4" w:space="0" w:color="auto"/>
              <w:right w:val="single" w:sz="4" w:space="0" w:color="auto"/>
            </w:tcBorders>
          </w:tcPr>
          <w:p w:rsidR="00774466" w:rsidRPr="00BF4136" w:rsidRDefault="00774466" w:rsidP="00774466">
            <w:pPr>
              <w:tabs>
                <w:tab w:val="left" w:pos="993"/>
              </w:tabs>
              <w:suppressAutoHyphens/>
              <w:spacing w:after="0" w:line="240" w:lineRule="auto"/>
              <w:jc w:val="center"/>
            </w:pPr>
          </w:p>
          <w:p w:rsidR="00774466" w:rsidRPr="00BF4136" w:rsidRDefault="00774466" w:rsidP="00774466">
            <w:pPr>
              <w:pStyle w:val="afff"/>
              <w:jc w:val="center"/>
              <w:rPr>
                <w:rFonts w:ascii="Times New Roman" w:hAnsi="Times New Roman"/>
              </w:rPr>
            </w:pPr>
          </w:p>
          <w:p w:rsidR="00774466" w:rsidRPr="00BF4136" w:rsidRDefault="00774466" w:rsidP="00774466">
            <w:pPr>
              <w:pStyle w:val="afff"/>
              <w:jc w:val="center"/>
              <w:rPr>
                <w:rFonts w:ascii="Times New Roman" w:hAnsi="Times New Roman"/>
              </w:rPr>
            </w:pPr>
            <w:r w:rsidRPr="00BF4136">
              <w:rPr>
                <w:rFonts w:ascii="Times New Roman" w:hAnsi="Times New Roman"/>
              </w:rPr>
              <w:t>руб. за одно присоединение</w:t>
            </w:r>
          </w:p>
        </w:tc>
        <w:tc>
          <w:tcPr>
            <w:tcW w:w="1006" w:type="dxa"/>
            <w:tcBorders>
              <w:top w:val="single" w:sz="4" w:space="0" w:color="auto"/>
              <w:left w:val="single" w:sz="4" w:space="0" w:color="auto"/>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2 631,92</w:t>
            </w:r>
          </w:p>
        </w:tc>
        <w:tc>
          <w:tcPr>
            <w:tcW w:w="992" w:type="dxa"/>
            <w:tcBorders>
              <w:top w:val="single" w:sz="4" w:space="0" w:color="auto"/>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2 808,69</w:t>
            </w:r>
          </w:p>
        </w:tc>
        <w:tc>
          <w:tcPr>
            <w:tcW w:w="992" w:type="dxa"/>
            <w:tcBorders>
              <w:top w:val="single" w:sz="4" w:space="0" w:color="auto"/>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2 309,02</w:t>
            </w:r>
          </w:p>
        </w:tc>
        <w:tc>
          <w:tcPr>
            <w:tcW w:w="1418" w:type="dxa"/>
            <w:tcBorders>
              <w:top w:val="single" w:sz="4" w:space="0" w:color="auto"/>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-18</w:t>
            </w:r>
          </w:p>
        </w:tc>
      </w:tr>
      <w:tr w:rsidR="00774466" w:rsidRPr="00BF4136" w:rsidTr="009A52C2">
        <w:trPr>
          <w:trHeight w:val="20"/>
          <w:jc w:val="center"/>
        </w:trPr>
        <w:tc>
          <w:tcPr>
            <w:tcW w:w="5382" w:type="dxa"/>
            <w:tcBorders>
              <w:top w:val="single" w:sz="4" w:space="0" w:color="auto"/>
              <w:left w:val="single" w:sz="4" w:space="0" w:color="auto"/>
              <w:bottom w:val="single" w:sz="4" w:space="0" w:color="auto"/>
              <w:right w:val="single" w:sz="4" w:space="0" w:color="auto"/>
            </w:tcBorders>
            <w:hideMark/>
          </w:tcPr>
          <w:p w:rsidR="00774466" w:rsidRDefault="00774466" w:rsidP="00774466">
            <w:pPr>
              <w:tabs>
                <w:tab w:val="left" w:pos="993"/>
              </w:tabs>
              <w:spacing w:after="0" w:line="240" w:lineRule="auto"/>
              <w:jc w:val="both"/>
            </w:pPr>
            <w:r>
              <w:t xml:space="preserve">Ставки за единицу максимальной мощности (руб./кВт) для определения платы за технологическое присоединение к электрическим сетям на уровне напряжения 20 кВ и менее и мощности менее 670 кВт на осуществление мероприятий, предусмотренных  </w:t>
            </w:r>
            <w:r>
              <w:rPr>
                <w:rFonts w:eastAsia="Calibri"/>
                <w:sz w:val="18"/>
                <w:szCs w:val="18"/>
              </w:rPr>
              <w:t xml:space="preserve">подпунктами "а" и "в" пункта  16 </w:t>
            </w:r>
            <w:r>
              <w:t>Методических указаний ФАС России</w:t>
            </w:r>
          </w:p>
        </w:tc>
        <w:tc>
          <w:tcPr>
            <w:tcW w:w="979" w:type="dxa"/>
            <w:tcBorders>
              <w:top w:val="single" w:sz="4" w:space="0" w:color="auto"/>
              <w:left w:val="single" w:sz="4" w:space="0" w:color="auto"/>
              <w:bottom w:val="single" w:sz="4" w:space="0" w:color="auto"/>
              <w:right w:val="single" w:sz="4" w:space="0" w:color="auto"/>
            </w:tcBorders>
          </w:tcPr>
          <w:p w:rsidR="00774466" w:rsidRPr="00BF4136" w:rsidRDefault="00774466" w:rsidP="00774466">
            <w:pPr>
              <w:tabs>
                <w:tab w:val="left" w:pos="993"/>
              </w:tabs>
              <w:suppressAutoHyphens/>
              <w:spacing w:after="0" w:line="240" w:lineRule="auto"/>
              <w:jc w:val="center"/>
            </w:pPr>
          </w:p>
          <w:p w:rsidR="00774466" w:rsidRPr="00BF4136" w:rsidRDefault="00774466" w:rsidP="00774466">
            <w:pPr>
              <w:pStyle w:val="afff"/>
              <w:jc w:val="center"/>
              <w:rPr>
                <w:rFonts w:ascii="Times New Roman" w:hAnsi="Times New Roman"/>
              </w:rPr>
            </w:pPr>
          </w:p>
          <w:p w:rsidR="00774466" w:rsidRPr="00BF4136" w:rsidRDefault="00774466" w:rsidP="00774466">
            <w:pPr>
              <w:pStyle w:val="afff"/>
              <w:jc w:val="center"/>
              <w:rPr>
                <w:rFonts w:ascii="Times New Roman" w:hAnsi="Times New Roman"/>
              </w:rPr>
            </w:pPr>
          </w:p>
          <w:p w:rsidR="00774466" w:rsidRPr="00BF4136" w:rsidRDefault="00774466" w:rsidP="00774466">
            <w:pPr>
              <w:pStyle w:val="afff"/>
              <w:jc w:val="center"/>
              <w:rPr>
                <w:rFonts w:ascii="Times New Roman" w:hAnsi="Times New Roman"/>
              </w:rPr>
            </w:pPr>
            <w:r w:rsidRPr="00BF4136">
              <w:rPr>
                <w:rFonts w:ascii="Times New Roman" w:hAnsi="Times New Roman"/>
              </w:rPr>
              <w:t>руб./ кВт</w:t>
            </w:r>
          </w:p>
        </w:tc>
        <w:tc>
          <w:tcPr>
            <w:tcW w:w="1006" w:type="dxa"/>
            <w:tcBorders>
              <w:top w:val="nil"/>
              <w:left w:val="single" w:sz="4" w:space="0" w:color="auto"/>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30,89</w:t>
            </w:r>
          </w:p>
        </w:tc>
        <w:tc>
          <w:tcPr>
            <w:tcW w:w="992" w:type="dxa"/>
            <w:tcBorders>
              <w:top w:val="nil"/>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43,26</w:t>
            </w:r>
          </w:p>
        </w:tc>
        <w:tc>
          <w:tcPr>
            <w:tcW w:w="992" w:type="dxa"/>
            <w:tcBorders>
              <w:top w:val="nil"/>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не установлена</w:t>
            </w:r>
          </w:p>
        </w:tc>
        <w:tc>
          <w:tcPr>
            <w:tcW w:w="1418" w:type="dxa"/>
            <w:tcBorders>
              <w:top w:val="nil"/>
              <w:left w:val="nil"/>
              <w:bottom w:val="single" w:sz="4" w:space="0" w:color="auto"/>
              <w:right w:val="single" w:sz="4" w:space="0" w:color="auto"/>
            </w:tcBorders>
            <w:vAlign w:val="center"/>
            <w:hideMark/>
          </w:tcPr>
          <w:p w:rsidR="00774466" w:rsidRPr="00BF4136" w:rsidRDefault="00774466" w:rsidP="00774466">
            <w:pPr>
              <w:pStyle w:val="afff"/>
              <w:jc w:val="center"/>
              <w:rPr>
                <w:rFonts w:ascii="Times New Roman" w:hAnsi="Times New Roman"/>
              </w:rPr>
            </w:pPr>
            <w:r w:rsidRPr="00BF4136">
              <w:rPr>
                <w:rFonts w:ascii="Times New Roman" w:hAnsi="Times New Roman"/>
              </w:rPr>
              <w:t>-</w:t>
            </w:r>
          </w:p>
        </w:tc>
      </w:tr>
    </w:tbl>
    <w:p w:rsidR="00BD2093" w:rsidRPr="00B369F9" w:rsidRDefault="00BD2093" w:rsidP="00BD2093">
      <w:pPr>
        <w:tabs>
          <w:tab w:val="left" w:pos="993"/>
        </w:tabs>
        <w:spacing w:after="0" w:line="240" w:lineRule="auto"/>
        <w:ind w:firstLine="709"/>
        <w:jc w:val="both"/>
        <w:rPr>
          <w:rFonts w:ascii="Times New Roman" w:hAnsi="Times New Roman" w:cs="Times New Roman"/>
          <w:sz w:val="24"/>
          <w:szCs w:val="24"/>
          <w:highlight w:val="yellow"/>
        </w:rPr>
      </w:pPr>
    </w:p>
    <w:p w:rsidR="00BD2093" w:rsidRPr="00B369F9" w:rsidRDefault="00BD2093" w:rsidP="00B966E8">
      <w:pPr>
        <w:pStyle w:val="afff"/>
        <w:ind w:firstLine="709"/>
        <w:rPr>
          <w:rFonts w:ascii="Times New Roman" w:hAnsi="Times New Roman"/>
          <w:sz w:val="24"/>
          <w:szCs w:val="24"/>
        </w:rPr>
      </w:pPr>
      <w:r w:rsidRPr="00B369F9">
        <w:rPr>
          <w:rFonts w:ascii="Times New Roman" w:hAnsi="Times New Roman"/>
          <w:sz w:val="24"/>
          <w:szCs w:val="24"/>
        </w:rPr>
        <w:t>Информация о плате по индивидуальному проекту:</w:t>
      </w:r>
    </w:p>
    <w:p w:rsidR="00BD2093" w:rsidRPr="00B369F9" w:rsidRDefault="00BD2093" w:rsidP="00B966E8">
      <w:pPr>
        <w:pStyle w:val="afff"/>
        <w:ind w:firstLine="709"/>
        <w:jc w:val="both"/>
        <w:rPr>
          <w:rFonts w:ascii="Times New Roman" w:hAnsi="Times New Roman"/>
          <w:sz w:val="24"/>
          <w:szCs w:val="24"/>
        </w:rPr>
      </w:pPr>
      <w:r w:rsidRPr="00B369F9">
        <w:rPr>
          <w:rFonts w:ascii="Times New Roman" w:hAnsi="Times New Roman"/>
          <w:sz w:val="24"/>
          <w:szCs w:val="24"/>
        </w:rPr>
        <w:t>В 2023 году плата по индивидуальному проекту установлена для объекта «Всесезонный туристско-рекреационный комплекс «Ведучи» (заявитель – АО «Курорты Северного Кавказа») в размере 3 382,25 млн руб.</w:t>
      </w:r>
    </w:p>
    <w:p w:rsidR="00FE0474" w:rsidRPr="004371F2" w:rsidRDefault="00FE0474" w:rsidP="00FE0474">
      <w:pPr>
        <w:tabs>
          <w:tab w:val="left" w:pos="993"/>
        </w:tabs>
        <w:spacing w:after="0" w:line="240" w:lineRule="auto"/>
        <w:ind w:firstLine="709"/>
        <w:jc w:val="both"/>
        <w:rPr>
          <w:rFonts w:ascii="Times New Roman" w:hAnsi="Times New Roman" w:cs="Times New Roman"/>
          <w:sz w:val="24"/>
          <w:szCs w:val="24"/>
        </w:rPr>
      </w:pPr>
    </w:p>
    <w:p w:rsidR="004371F2" w:rsidRPr="004371F2" w:rsidRDefault="004371F2" w:rsidP="004371F2">
      <w:pPr>
        <w:pStyle w:val="1"/>
        <w:ind w:firstLine="709"/>
        <w:rPr>
          <w:lang w:eastAsia="ar-SA"/>
        </w:rPr>
      </w:pPr>
      <w:bookmarkStart w:id="18" w:name="_Toc163738863"/>
      <w:r w:rsidRPr="004371F2">
        <w:rPr>
          <w:lang w:eastAsia="ar-SA"/>
        </w:rPr>
        <w:t>Технологическое присоединение</w:t>
      </w:r>
      <w:bookmarkEnd w:id="18"/>
    </w:p>
    <w:p w:rsidR="004371F2" w:rsidRDefault="004371F2" w:rsidP="00FE0474">
      <w:pPr>
        <w:tabs>
          <w:tab w:val="left" w:pos="993"/>
        </w:tabs>
        <w:spacing w:after="0" w:line="240" w:lineRule="auto"/>
        <w:ind w:firstLine="709"/>
        <w:jc w:val="both"/>
        <w:rPr>
          <w:rFonts w:ascii="Times New Roman" w:hAnsi="Times New Roman" w:cs="Times New Roman"/>
          <w:sz w:val="24"/>
          <w:szCs w:val="24"/>
        </w:rPr>
      </w:pPr>
    </w:p>
    <w:p w:rsidR="001170D9" w:rsidRDefault="001170D9" w:rsidP="00643262">
      <w:pPr>
        <w:spacing w:after="0"/>
        <w:ind w:firstLine="720"/>
        <w:jc w:val="both"/>
        <w:rPr>
          <w:rFonts w:ascii="Times New Roman" w:eastAsia="Calibri" w:hAnsi="Times New Roman" w:cs="Times New Roman"/>
          <w:sz w:val="24"/>
          <w:szCs w:val="24"/>
        </w:rPr>
      </w:pPr>
      <w:r>
        <w:rPr>
          <w:rFonts w:ascii="Times New Roman" w:eastAsia="Calibri" w:hAnsi="Times New Roman" w:cs="Times New Roman"/>
          <w:sz w:val="24"/>
          <w:szCs w:val="24"/>
        </w:rPr>
        <w:t>За период 2021-2023 гг. наблюдалась следующая динамика объёмов технологического присоединения:</w:t>
      </w:r>
    </w:p>
    <w:p w:rsidR="00643262" w:rsidRDefault="00643262" w:rsidP="00643262">
      <w:pPr>
        <w:spacing w:after="0"/>
        <w:ind w:firstLine="720"/>
        <w:jc w:val="both"/>
        <w:rPr>
          <w:rFonts w:ascii="Times New Roman" w:hAnsi="Times New Roman" w:cs="Times New Roman"/>
          <w:sz w:val="24"/>
          <w:szCs w:val="24"/>
        </w:rPr>
      </w:pPr>
    </w:p>
    <w:p w:rsidR="001170D9" w:rsidRPr="001170D9" w:rsidRDefault="001170D9" w:rsidP="001170D9">
      <w:pPr>
        <w:spacing w:after="0" w:line="240" w:lineRule="auto"/>
        <w:jc w:val="center"/>
        <w:rPr>
          <w:rFonts w:ascii="Times New Roman" w:hAnsi="Times New Roman" w:cs="Times New Roman"/>
          <w:b/>
          <w:sz w:val="24"/>
          <w:szCs w:val="24"/>
        </w:rPr>
      </w:pPr>
      <w:r>
        <w:rPr>
          <w:rFonts w:ascii="Times New Roman" w:eastAsia="Calibri" w:hAnsi="Times New Roman" w:cs="Times New Roman"/>
          <w:b/>
          <w:sz w:val="24"/>
          <w:szCs w:val="24"/>
        </w:rPr>
        <w:t>Объёмы ТП по мощности, МВт</w:t>
      </w:r>
    </w:p>
    <w:p w:rsidR="001170D9" w:rsidRDefault="001170D9" w:rsidP="001170D9">
      <w:pPr>
        <w:spacing w:after="0" w:line="240" w:lineRule="auto"/>
        <w:ind w:firstLine="709"/>
        <w:jc w:val="both"/>
        <w:rPr>
          <w:rFonts w:ascii="Times New Roman" w:hAnsi="Times New Roman" w:cs="Times New Roman"/>
          <w:sz w:val="24"/>
          <w:szCs w:val="24"/>
        </w:rPr>
      </w:pPr>
      <w:r>
        <w:rPr>
          <w:noProof/>
          <w:lang w:eastAsia="ru-RU"/>
        </w:rPr>
        <w:drawing>
          <wp:inline distT="0" distB="0" distL="0" distR="0" wp14:anchorId="54585801" wp14:editId="5C34F8A7">
            <wp:extent cx="4669155" cy="2057400"/>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170D9" w:rsidRDefault="001170D9" w:rsidP="001170D9">
      <w:pPr>
        <w:spacing w:after="0" w:line="240" w:lineRule="auto"/>
        <w:ind w:firstLine="709"/>
        <w:jc w:val="both"/>
        <w:rPr>
          <w:rFonts w:ascii="Times New Roman" w:hAnsi="Times New Roman" w:cs="Times New Roman"/>
          <w:sz w:val="24"/>
          <w:szCs w:val="24"/>
        </w:rPr>
      </w:pPr>
    </w:p>
    <w:p w:rsidR="001170D9" w:rsidRDefault="001170D9" w:rsidP="001170D9">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По отношению к 2022 году объем присоединяемой мощности снизился на 32% по принятым заявкам, на 22% - по исполненным договорам и увеличен на 36% - по заключенным договорам.</w:t>
      </w:r>
    </w:p>
    <w:p w:rsidR="001170D9" w:rsidRDefault="001170D9" w:rsidP="001170D9">
      <w:pPr>
        <w:spacing w:after="0" w:line="240" w:lineRule="auto"/>
        <w:jc w:val="center"/>
        <w:rPr>
          <w:rFonts w:ascii="Times New Roman" w:eastAsia="Calibri" w:hAnsi="Times New Roman" w:cs="Times New Roman"/>
          <w:sz w:val="24"/>
          <w:szCs w:val="24"/>
        </w:rPr>
      </w:pPr>
      <w:r w:rsidRPr="001170D9">
        <w:rPr>
          <w:rFonts w:ascii="Times New Roman" w:eastAsia="Calibri" w:hAnsi="Times New Roman" w:cs="Times New Roman"/>
          <w:b/>
          <w:sz w:val="24"/>
          <w:szCs w:val="24"/>
        </w:rPr>
        <w:lastRenderedPageBreak/>
        <w:t>Объёмы Т</w:t>
      </w:r>
      <w:r>
        <w:rPr>
          <w:rFonts w:ascii="Times New Roman" w:eastAsia="Calibri" w:hAnsi="Times New Roman" w:cs="Times New Roman"/>
          <w:b/>
          <w:sz w:val="24"/>
          <w:szCs w:val="24"/>
        </w:rPr>
        <w:t>П по количеству, шт.</w:t>
      </w:r>
      <w:r>
        <w:rPr>
          <w:noProof/>
          <w:lang w:eastAsia="ru-RU"/>
        </w:rPr>
        <w:drawing>
          <wp:inline distT="0" distB="0" distL="0" distR="0" wp14:anchorId="7733F3C9" wp14:editId="1F1C4D0C">
            <wp:extent cx="4669155" cy="1847850"/>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1170D9" w:rsidRDefault="001170D9" w:rsidP="001170D9">
      <w:pPr>
        <w:jc w:val="center"/>
        <w:rPr>
          <w:rFonts w:ascii="Times New Roman" w:eastAsia="Calibri" w:hAnsi="Times New Roman" w:cs="Times New Roman"/>
          <w:i/>
          <w:sz w:val="24"/>
          <w:szCs w:val="24"/>
        </w:rPr>
      </w:pPr>
    </w:p>
    <w:p w:rsidR="001170D9" w:rsidRDefault="001170D9" w:rsidP="001170D9">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В количественном выражении наблюдается увеличение на 13% объема поступивших заявок и на 8% заключенных договоров. По исполненным договорам снижение на 6% с </w:t>
      </w:r>
      <w:r>
        <w:rPr>
          <w:rFonts w:ascii="Times New Roman" w:eastAsia="Times New Roman" w:hAnsi="Times New Roman" w:cs="Times New Roman"/>
          <w:sz w:val="24"/>
          <w:szCs w:val="24"/>
          <w:lang w:eastAsia="ru-RU"/>
        </w:rPr>
        <w:br/>
        <w:t>3 135 шт. до 2 941 шт.</w:t>
      </w:r>
    </w:p>
    <w:p w:rsidR="001170D9" w:rsidRDefault="001170D9" w:rsidP="001170D9">
      <w:pPr>
        <w:spacing w:after="0" w:line="240" w:lineRule="auto"/>
        <w:ind w:right="82" w:firstLine="709"/>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Динамика выручки от оказания услуг по технологическому присоединению за период с 2021-2023 гг. приведена на диаграмме:</w:t>
      </w:r>
    </w:p>
    <w:p w:rsidR="001170D9" w:rsidRDefault="001170D9" w:rsidP="001170D9">
      <w:pPr>
        <w:tabs>
          <w:tab w:val="left" w:pos="533"/>
        </w:tabs>
        <w:spacing w:after="0" w:line="240" w:lineRule="auto"/>
        <w:ind w:right="82" w:firstLine="709"/>
        <w:rPr>
          <w:rFonts w:ascii="Times New Roman" w:eastAsia="Calibri" w:hAnsi="Times New Roman" w:cs="Times New Roman"/>
          <w:bCs/>
          <w:i/>
          <w:sz w:val="24"/>
          <w:szCs w:val="24"/>
        </w:rPr>
      </w:pPr>
    </w:p>
    <w:p w:rsidR="001170D9" w:rsidRPr="001170D9" w:rsidRDefault="001170D9" w:rsidP="001170D9">
      <w:pPr>
        <w:tabs>
          <w:tab w:val="left" w:pos="533"/>
        </w:tabs>
        <w:spacing w:after="0" w:line="240" w:lineRule="auto"/>
        <w:ind w:right="82"/>
        <w:jc w:val="center"/>
        <w:rPr>
          <w:rFonts w:ascii="Times New Roman" w:eastAsia="Calibri" w:hAnsi="Times New Roman" w:cs="Times New Roman"/>
          <w:b/>
          <w:bCs/>
          <w:sz w:val="24"/>
          <w:szCs w:val="24"/>
        </w:rPr>
      </w:pPr>
      <w:r w:rsidRPr="001170D9">
        <w:rPr>
          <w:rFonts w:ascii="Times New Roman" w:eastAsia="Calibri" w:hAnsi="Times New Roman" w:cs="Times New Roman"/>
          <w:b/>
          <w:sz w:val="24"/>
          <w:szCs w:val="24"/>
        </w:rPr>
        <w:t>Динамика выручки по ТП</w:t>
      </w:r>
    </w:p>
    <w:p w:rsidR="001170D9" w:rsidRDefault="001170D9" w:rsidP="001170D9">
      <w:pPr>
        <w:tabs>
          <w:tab w:val="left" w:pos="533"/>
        </w:tabs>
        <w:spacing w:after="0" w:line="240" w:lineRule="auto"/>
        <w:ind w:right="82" w:firstLine="709"/>
        <w:rPr>
          <w:rFonts w:ascii="Times New Roman" w:eastAsia="Calibri" w:hAnsi="Times New Roman" w:cs="Times New Roman"/>
          <w:bCs/>
          <w:i/>
          <w:sz w:val="24"/>
          <w:szCs w:val="24"/>
        </w:rPr>
      </w:pPr>
      <w:r>
        <w:rPr>
          <w:noProof/>
          <w:lang w:eastAsia="ru-RU"/>
        </w:rPr>
        <w:drawing>
          <wp:inline distT="0" distB="0" distL="0" distR="0" wp14:anchorId="1BC495E9" wp14:editId="5FB7C93C">
            <wp:extent cx="4669155" cy="1619250"/>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170D9" w:rsidRPr="001170D9" w:rsidRDefault="001170D9" w:rsidP="001170D9">
      <w:pPr>
        <w:spacing w:after="0" w:line="240" w:lineRule="auto"/>
        <w:ind w:firstLine="709"/>
        <w:jc w:val="both"/>
        <w:rPr>
          <w:rFonts w:ascii="Times New Roman" w:hAnsi="Times New Roman" w:cs="Times New Roman"/>
          <w:sz w:val="24"/>
          <w:szCs w:val="24"/>
        </w:rPr>
      </w:pPr>
      <w:r w:rsidRPr="001170D9">
        <w:rPr>
          <w:rFonts w:ascii="Times New Roman" w:eastAsia="Calibri" w:hAnsi="Times New Roman" w:cs="Times New Roman"/>
          <w:sz w:val="24"/>
          <w:szCs w:val="24"/>
        </w:rPr>
        <w:t>Технологическое присоединение социально-значимых крупных и инфраструктурных объектов.</w:t>
      </w:r>
    </w:p>
    <w:p w:rsidR="001170D9" w:rsidRDefault="001170D9" w:rsidP="001170D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Присоединено 33 образовательных учреждения на общую мощность 7 МВт, 9 объектов социального назначения и здравоохранения на общую мощность 0,8 МВт, осуществлено значительное по мощности технологическое присоединение ООО «Дика-Стройпроект» на 1,5 МВт.</w:t>
      </w:r>
    </w:p>
    <w:p w:rsidR="001170D9" w:rsidRDefault="001170D9" w:rsidP="001170D9">
      <w:pPr>
        <w:spacing w:after="0" w:line="240" w:lineRule="auto"/>
        <w:ind w:firstLine="709"/>
        <w:jc w:val="both"/>
        <w:rPr>
          <w:rFonts w:ascii="Times New Roman" w:hAnsi="Times New Roman" w:cs="Times New Roman"/>
          <w:sz w:val="24"/>
          <w:szCs w:val="24"/>
        </w:rPr>
      </w:pPr>
    </w:p>
    <w:p w:rsidR="001170D9" w:rsidRDefault="001170D9" w:rsidP="001170D9">
      <w:pPr>
        <w:tabs>
          <w:tab w:val="left" w:pos="9356"/>
        </w:tabs>
        <w:spacing w:after="0" w:line="240" w:lineRule="auto"/>
        <w:ind w:firstLine="709"/>
        <w:jc w:val="center"/>
        <w:rPr>
          <w:rFonts w:ascii="Times New Roman" w:eastAsia="Times New Roman" w:hAnsi="Times New Roman"/>
          <w:b/>
          <w:bCs/>
          <w:color w:val="000000"/>
          <w:sz w:val="24"/>
          <w:szCs w:val="24"/>
          <w:lang w:eastAsia="ru-RU"/>
        </w:rPr>
      </w:pPr>
      <w:r>
        <w:rPr>
          <w:rFonts w:ascii="Times New Roman" w:eastAsia="Times New Roman" w:hAnsi="Times New Roman"/>
          <w:b/>
          <w:color w:val="000000"/>
          <w:sz w:val="24"/>
          <w:szCs w:val="24"/>
          <w:lang w:eastAsia="ru-RU"/>
        </w:rPr>
        <w:t>Показатели по</w:t>
      </w:r>
      <w:r w:rsidR="002A67EE">
        <w:rPr>
          <w:rFonts w:ascii="Times New Roman" w:eastAsia="Times New Roman" w:hAnsi="Times New Roman"/>
          <w:b/>
          <w:color w:val="000000"/>
          <w:sz w:val="24"/>
          <w:szCs w:val="24"/>
          <w:lang w:eastAsia="ru-RU"/>
        </w:rPr>
        <w:t xml:space="preserve"> технологическому присоединению</w:t>
      </w:r>
    </w:p>
    <w:tbl>
      <w:tblPr>
        <w:tblStyle w:val="2b"/>
        <w:tblW w:w="9447" w:type="dxa"/>
        <w:jc w:val="center"/>
        <w:tblLook w:val="04A0" w:firstRow="1" w:lastRow="0" w:firstColumn="1" w:lastColumn="0" w:noHBand="0" w:noVBand="1"/>
      </w:tblPr>
      <w:tblGrid>
        <w:gridCol w:w="3690"/>
        <w:gridCol w:w="942"/>
        <w:gridCol w:w="932"/>
        <w:gridCol w:w="1033"/>
        <w:gridCol w:w="1033"/>
        <w:gridCol w:w="1817"/>
      </w:tblGrid>
      <w:tr w:rsidR="001170D9" w:rsidTr="001170D9">
        <w:trPr>
          <w:trHeight w:val="307"/>
          <w:jc w:val="center"/>
        </w:trPr>
        <w:tc>
          <w:tcPr>
            <w:tcW w:w="369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Показатели</w:t>
            </w:r>
          </w:p>
        </w:tc>
        <w:tc>
          <w:tcPr>
            <w:tcW w:w="94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Ед.изм.</w:t>
            </w:r>
          </w:p>
        </w:tc>
        <w:tc>
          <w:tcPr>
            <w:tcW w:w="4815"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p>
        </w:tc>
      </w:tr>
      <w:tr w:rsidR="001170D9" w:rsidTr="001170D9">
        <w:trPr>
          <w:trHeight w:val="573"/>
          <w:jc w:val="center"/>
        </w:trPr>
        <w:tc>
          <w:tcPr>
            <w:tcW w:w="369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p>
        </w:tc>
        <w:tc>
          <w:tcPr>
            <w:tcW w:w="94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2021 год</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2022 год</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2023 год</w:t>
            </w:r>
          </w:p>
        </w:tc>
        <w:tc>
          <w:tcPr>
            <w:tcW w:w="1814" w:type="dxa"/>
            <w:tcBorders>
              <w:top w:val="single" w:sz="4" w:space="0" w:color="000000"/>
              <w:left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b/>
                <w:sz w:val="20"/>
              </w:rPr>
              <w:t>Изменение 2023/2022, %</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1</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2</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5</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6</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Принято в работу заявок на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6 030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4 381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4 945</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112,9</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Принято в работу заявок на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127 689,2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256 755,0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173 512,8</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67,6</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Заключено договоров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5 402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3 770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4 073</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108,0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Заключено договоров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96 770,8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71 019,0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96 566,9</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136,0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Исполнено договоров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5 070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3 135</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2 941</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93,8</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Исполнено договоров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78 382,0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72 837,8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56 732,5</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77,9</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Действующие договоры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1 823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2 463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3 600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146,2</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Действующие договоры ТП</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222 566,4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223 410,0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264 002,0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118,2</w:t>
            </w:r>
          </w:p>
        </w:tc>
      </w:tr>
      <w:tr w:rsidR="001170D9" w:rsidTr="001170D9">
        <w:trPr>
          <w:trHeight w:val="307"/>
          <w:jc w:val="center"/>
        </w:trPr>
        <w:tc>
          <w:tcPr>
            <w:tcW w:w="9447"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i/>
                <w:sz w:val="20"/>
              </w:rPr>
              <w:lastRenderedPageBreak/>
              <w:t>Структура исполненных договоров по категориям заявителей:</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До 15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4 928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2 967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2 699</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91,0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 и до 150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99</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187</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155,8</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150 кВт и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39</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46</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54</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117,4</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Не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100,0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Генерация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До 15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42 067,7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23 656,2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22 700,0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96,0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 и до 150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7 560,7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10 609,9</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14 192,0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133,8</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150 кВт и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14 263,6</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15 371,7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18 341,0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119,3</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Не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9 990,0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10 000,0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1 500,0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15,0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Генерация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4 500,0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13 200,0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До 15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млн руб.</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1,95</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5,70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24,54</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430,6</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 и до 150 кВт включительно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млн руб.</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6,81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5,21</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76,6</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Свыше 150 кВт и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млн руб.</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0,83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2,65</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2,61</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98,4</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Не менее 670 кВт</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млн руб.</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15,53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0,03</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0,2</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Генерация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млн руб.</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w:t>
            </w:r>
          </w:p>
        </w:tc>
      </w:tr>
      <w:tr w:rsidR="001170D9" w:rsidTr="001170D9">
        <w:trPr>
          <w:trHeight w:val="307"/>
          <w:jc w:val="center"/>
        </w:trPr>
        <w:tc>
          <w:tcPr>
            <w:tcW w:w="9447"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i/>
                <w:sz w:val="20"/>
              </w:rPr>
              <w:t>Структура исполненных договоров по отраслям:</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Физические лица</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4 455</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2 697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2 518</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93,4</w:t>
            </w:r>
          </w:p>
        </w:tc>
      </w:tr>
      <w:tr w:rsidR="001170D9" w:rsidTr="001170D9">
        <w:trPr>
          <w:trHeight w:val="460"/>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Сельское и лесное хозяйство, рыболовство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85,7</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Промышленность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Производство и распределение электроэнергии, газа и воды</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200,0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Строительство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23</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191,7</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Торговля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77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41</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186,4</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Транспорт и связь</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32</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57</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178,1</w:t>
            </w:r>
          </w:p>
        </w:tc>
      </w:tr>
      <w:tr w:rsidR="001170D9" w:rsidTr="001170D9">
        <w:trPr>
          <w:trHeight w:val="346"/>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Здравоохранение, образование, социальные услуги</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39</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34</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63,0</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Прочее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шт.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458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310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254</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81,9</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Физические лица</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36 872,0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20 897,0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21 034,0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100,7</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Сельское и лесное хозяйство, рыболовство</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853,0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424,7</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1 024,0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241,1</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Промышленность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149,0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1 373,0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Производство и распределение электроэнергии, газа и воды</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5 040,0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13 200,0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24,0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0,2</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Строительство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2 283,0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12 293,8</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4 655,0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37,9</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Торговля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2 550,1</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1 584,0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3 187,0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201,2</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Транспорт и связь</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352,0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368,0</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951,0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258,4</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Здравоохранение, образование, социальные услуги</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6 810,4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10 247,9</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6 826,0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66,6</w:t>
            </w:r>
          </w:p>
        </w:tc>
      </w:tr>
      <w:tr w:rsidR="001170D9" w:rsidTr="001170D9">
        <w:trPr>
          <w:trHeight w:val="307"/>
          <w:jc w:val="center"/>
        </w:trPr>
        <w:tc>
          <w:tcPr>
            <w:tcW w:w="3690"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pPr>
            <w:r>
              <w:rPr>
                <w:rFonts w:eastAsia="Times New Roman" w:cs="Times New Roman"/>
                <w:sz w:val="20"/>
              </w:rPr>
              <w:t xml:space="preserve">Прочее </w:t>
            </w:r>
          </w:p>
        </w:tc>
        <w:tc>
          <w:tcPr>
            <w:tcW w:w="94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Default="001170D9" w:rsidP="001170D9">
            <w:pPr>
              <w:spacing w:after="0" w:line="240" w:lineRule="auto"/>
              <w:jc w:val="center"/>
            </w:pPr>
            <w:r>
              <w:rPr>
                <w:rFonts w:eastAsia="Times New Roman" w:cs="Times New Roman"/>
                <w:sz w:val="20"/>
              </w:rPr>
              <w:t>кВт</w:t>
            </w:r>
          </w:p>
        </w:tc>
        <w:tc>
          <w:tcPr>
            <w:tcW w:w="932"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23 472,5</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13 822,4</w:t>
            </w:r>
          </w:p>
        </w:tc>
        <w:tc>
          <w:tcPr>
            <w:tcW w:w="1033"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17 658,0</w:t>
            </w:r>
          </w:p>
        </w:tc>
        <w:tc>
          <w:tcPr>
            <w:tcW w:w="1817" w:type="dxa"/>
            <w:tcBorders>
              <w:top w:val="single" w:sz="4" w:space="0" w:color="000000"/>
              <w:left w:val="single" w:sz="4" w:space="0" w:color="000000"/>
              <w:bottom w:val="single" w:sz="4" w:space="0" w:color="000000"/>
              <w:right w:val="single" w:sz="4" w:space="0" w:color="000000"/>
            </w:tcBorders>
            <w:shd w:val="clear" w:color="auto" w:fill="auto"/>
            <w:tcMar>
              <w:top w:w="0" w:type="dxa"/>
              <w:left w:w="0" w:type="dxa"/>
              <w:bottom w:w="0" w:type="dxa"/>
              <w:right w:w="0" w:type="dxa"/>
            </w:tcMar>
            <w:vAlign w:val="center"/>
          </w:tcPr>
          <w:p w:rsidR="001170D9" w:rsidRPr="00FD561B" w:rsidRDefault="001170D9" w:rsidP="001170D9">
            <w:pPr>
              <w:spacing w:after="0" w:line="240" w:lineRule="auto"/>
              <w:jc w:val="center"/>
              <w:rPr>
                <w:sz w:val="20"/>
              </w:rPr>
            </w:pPr>
            <w:r w:rsidRPr="00FD561B">
              <w:rPr>
                <w:rFonts w:eastAsia="Times New Roman" w:cs="Times New Roman"/>
                <w:sz w:val="20"/>
              </w:rPr>
              <w:t>127,7</w:t>
            </w:r>
          </w:p>
        </w:tc>
      </w:tr>
    </w:tbl>
    <w:p w:rsidR="001170D9" w:rsidRDefault="001170D9" w:rsidP="001170D9">
      <w:pPr>
        <w:spacing w:after="0" w:line="240" w:lineRule="auto"/>
        <w:ind w:firstLine="709"/>
        <w:jc w:val="both"/>
        <w:rPr>
          <w:rFonts w:ascii="Times New Roman" w:hAnsi="Times New Roman" w:cs="Times New Roman"/>
          <w:sz w:val="24"/>
          <w:szCs w:val="24"/>
        </w:rPr>
      </w:pPr>
    </w:p>
    <w:p w:rsidR="001170D9" w:rsidRDefault="001170D9" w:rsidP="001170D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Выручка от оказания услуг по технологическому присоединению по итогам 2023 года составила 32,4 млн рублей (без НДС), что меньше плана на 1 721,9 млн рублей (без НДС) (-10 059%), и больше факта аналогичного периода 2022 года на 1,7 млн рублей (без НДС).</w:t>
      </w:r>
    </w:p>
    <w:p w:rsidR="001170D9" w:rsidRDefault="001170D9" w:rsidP="001170D9">
      <w:pPr>
        <w:spacing w:after="0" w:line="240" w:lineRule="auto"/>
        <w:ind w:firstLine="709"/>
        <w:jc w:val="both"/>
        <w:rPr>
          <w:rFonts w:ascii="Times New Roman" w:hAnsi="Times New Roman" w:cs="Times New Roman"/>
          <w:sz w:val="24"/>
          <w:szCs w:val="24"/>
        </w:rPr>
      </w:pPr>
    </w:p>
    <w:tbl>
      <w:tblPr>
        <w:tblW w:w="9399" w:type="dxa"/>
        <w:tblInd w:w="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9"/>
        <w:gridCol w:w="1180"/>
        <w:gridCol w:w="1140"/>
        <w:gridCol w:w="1100"/>
        <w:gridCol w:w="960"/>
        <w:gridCol w:w="1060"/>
      </w:tblGrid>
      <w:tr w:rsidR="001170D9" w:rsidRPr="002654B5" w:rsidTr="001170D9">
        <w:trPr>
          <w:trHeight w:val="315"/>
        </w:trPr>
        <w:tc>
          <w:tcPr>
            <w:tcW w:w="3959" w:type="dxa"/>
            <w:vMerge w:val="restart"/>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ПОКАЗАТЕЛЬ</w:t>
            </w:r>
          </w:p>
        </w:tc>
        <w:tc>
          <w:tcPr>
            <w:tcW w:w="1180" w:type="dxa"/>
            <w:vMerge w:val="restart"/>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2022 факт</w:t>
            </w:r>
          </w:p>
        </w:tc>
        <w:tc>
          <w:tcPr>
            <w:tcW w:w="1140" w:type="dxa"/>
            <w:vMerge w:val="restart"/>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2023 план</w:t>
            </w:r>
          </w:p>
        </w:tc>
        <w:tc>
          <w:tcPr>
            <w:tcW w:w="1100" w:type="dxa"/>
            <w:vMerge w:val="restart"/>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2023 факт</w:t>
            </w:r>
          </w:p>
        </w:tc>
        <w:tc>
          <w:tcPr>
            <w:tcW w:w="2020" w:type="dxa"/>
            <w:gridSpan w:val="2"/>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Отклонения</w:t>
            </w:r>
          </w:p>
        </w:tc>
      </w:tr>
      <w:tr w:rsidR="001170D9" w:rsidRPr="002654B5" w:rsidTr="001170D9">
        <w:trPr>
          <w:trHeight w:val="315"/>
        </w:trPr>
        <w:tc>
          <w:tcPr>
            <w:tcW w:w="3959" w:type="dxa"/>
            <w:vMerge/>
            <w:shd w:val="clear" w:color="auto" w:fill="auto"/>
            <w:vAlign w:val="center"/>
          </w:tcPr>
          <w:p w:rsidR="001170D9" w:rsidRPr="002654B5" w:rsidRDefault="001170D9" w:rsidP="0096073D">
            <w:pPr>
              <w:spacing w:after="0" w:line="240" w:lineRule="auto"/>
              <w:rPr>
                <w:rFonts w:ascii="Times New Roman" w:hAnsi="Times New Roman" w:cs="Times New Roman"/>
                <w:b/>
                <w:color w:val="000000"/>
                <w:sz w:val="20"/>
                <w:szCs w:val="20"/>
              </w:rPr>
            </w:pPr>
          </w:p>
        </w:tc>
        <w:tc>
          <w:tcPr>
            <w:tcW w:w="1180" w:type="dxa"/>
            <w:vMerge/>
            <w:shd w:val="clear" w:color="auto" w:fill="auto"/>
            <w:vAlign w:val="center"/>
          </w:tcPr>
          <w:p w:rsidR="001170D9" w:rsidRPr="002654B5" w:rsidRDefault="001170D9" w:rsidP="0096073D">
            <w:pPr>
              <w:spacing w:after="0" w:line="240" w:lineRule="auto"/>
              <w:rPr>
                <w:rFonts w:ascii="Times New Roman" w:hAnsi="Times New Roman" w:cs="Times New Roman"/>
                <w:b/>
                <w:color w:val="000000"/>
                <w:sz w:val="20"/>
                <w:szCs w:val="20"/>
              </w:rPr>
            </w:pPr>
          </w:p>
        </w:tc>
        <w:tc>
          <w:tcPr>
            <w:tcW w:w="1140" w:type="dxa"/>
            <w:vMerge/>
            <w:shd w:val="clear" w:color="auto" w:fill="auto"/>
            <w:vAlign w:val="center"/>
          </w:tcPr>
          <w:p w:rsidR="001170D9" w:rsidRPr="002654B5" w:rsidRDefault="001170D9" w:rsidP="0096073D">
            <w:pPr>
              <w:spacing w:after="0" w:line="240" w:lineRule="auto"/>
              <w:rPr>
                <w:rFonts w:ascii="Times New Roman" w:hAnsi="Times New Roman" w:cs="Times New Roman"/>
                <w:b/>
                <w:color w:val="000000"/>
                <w:sz w:val="20"/>
                <w:szCs w:val="20"/>
              </w:rPr>
            </w:pPr>
          </w:p>
        </w:tc>
        <w:tc>
          <w:tcPr>
            <w:tcW w:w="1100" w:type="dxa"/>
            <w:vMerge/>
            <w:shd w:val="clear" w:color="auto" w:fill="auto"/>
            <w:vAlign w:val="center"/>
          </w:tcPr>
          <w:p w:rsidR="001170D9" w:rsidRPr="002654B5" w:rsidRDefault="001170D9" w:rsidP="0096073D">
            <w:pPr>
              <w:spacing w:after="0" w:line="240" w:lineRule="auto"/>
              <w:rPr>
                <w:rFonts w:ascii="Times New Roman" w:hAnsi="Times New Roman" w:cs="Times New Roman"/>
                <w:b/>
                <w:color w:val="000000"/>
                <w:sz w:val="20"/>
                <w:szCs w:val="20"/>
              </w:rPr>
            </w:pPr>
          </w:p>
        </w:tc>
        <w:tc>
          <w:tcPr>
            <w:tcW w:w="960" w:type="dxa"/>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абс.</w:t>
            </w:r>
          </w:p>
        </w:tc>
        <w:tc>
          <w:tcPr>
            <w:tcW w:w="1060" w:type="dxa"/>
            <w:shd w:val="clear" w:color="auto" w:fill="auto"/>
            <w:vAlign w:val="center"/>
          </w:tcPr>
          <w:p w:rsidR="001170D9" w:rsidRPr="002654B5" w:rsidRDefault="001170D9" w:rsidP="0096073D">
            <w:pPr>
              <w:spacing w:after="0" w:line="240" w:lineRule="auto"/>
              <w:jc w:val="center"/>
              <w:rPr>
                <w:rFonts w:ascii="Times New Roman" w:hAnsi="Times New Roman" w:cs="Times New Roman"/>
                <w:b/>
                <w:color w:val="000000"/>
                <w:sz w:val="20"/>
                <w:szCs w:val="20"/>
              </w:rPr>
            </w:pPr>
            <w:r w:rsidRPr="002654B5">
              <w:rPr>
                <w:rFonts w:ascii="Times New Roman" w:hAnsi="Times New Roman" w:cs="Times New Roman"/>
                <w:b/>
                <w:color w:val="000000"/>
                <w:sz w:val="20"/>
                <w:szCs w:val="20"/>
              </w:rPr>
              <w:t>%</w:t>
            </w:r>
          </w:p>
        </w:tc>
      </w:tr>
      <w:tr w:rsidR="001170D9" w:rsidRPr="002654B5" w:rsidTr="001170D9">
        <w:trPr>
          <w:trHeight w:val="108"/>
        </w:trPr>
        <w:tc>
          <w:tcPr>
            <w:tcW w:w="3959" w:type="dxa"/>
            <w:shd w:val="clear" w:color="auto" w:fill="auto"/>
            <w:vAlign w:val="center"/>
          </w:tcPr>
          <w:p w:rsidR="001170D9" w:rsidRPr="002654B5" w:rsidRDefault="001170D9" w:rsidP="0096073D">
            <w:pPr>
              <w:spacing w:after="0" w:line="240" w:lineRule="auto"/>
              <w:rPr>
                <w:rFonts w:ascii="Times New Roman" w:hAnsi="Times New Roman" w:cs="Times New Roman"/>
                <w:color w:val="000000"/>
                <w:sz w:val="20"/>
                <w:szCs w:val="20"/>
              </w:rPr>
            </w:pPr>
            <w:r w:rsidRPr="002654B5">
              <w:rPr>
                <w:rFonts w:ascii="Times New Roman" w:hAnsi="Times New Roman" w:cs="Times New Roman"/>
                <w:color w:val="000000"/>
                <w:sz w:val="20"/>
                <w:szCs w:val="20"/>
              </w:rPr>
              <w:lastRenderedPageBreak/>
              <w:t xml:space="preserve">Объем присоединяемой мощности, МВт </w:t>
            </w:r>
          </w:p>
        </w:tc>
        <w:tc>
          <w:tcPr>
            <w:tcW w:w="118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72,8</w:t>
            </w:r>
          </w:p>
        </w:tc>
        <w:tc>
          <w:tcPr>
            <w:tcW w:w="114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66,0</w:t>
            </w:r>
          </w:p>
        </w:tc>
        <w:tc>
          <w:tcPr>
            <w:tcW w:w="110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56,7</w:t>
            </w:r>
          </w:p>
        </w:tc>
        <w:tc>
          <w:tcPr>
            <w:tcW w:w="9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-9,3</w:t>
            </w:r>
          </w:p>
        </w:tc>
        <w:tc>
          <w:tcPr>
            <w:tcW w:w="10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-24</w:t>
            </w:r>
          </w:p>
        </w:tc>
      </w:tr>
      <w:tr w:rsidR="001170D9" w:rsidRPr="002654B5" w:rsidTr="001170D9">
        <w:trPr>
          <w:trHeight w:val="195"/>
        </w:trPr>
        <w:tc>
          <w:tcPr>
            <w:tcW w:w="3959" w:type="dxa"/>
            <w:shd w:val="clear" w:color="auto" w:fill="auto"/>
            <w:vAlign w:val="center"/>
          </w:tcPr>
          <w:p w:rsidR="001170D9" w:rsidRPr="002654B5" w:rsidRDefault="001170D9" w:rsidP="0096073D">
            <w:pPr>
              <w:spacing w:after="0" w:line="240" w:lineRule="auto"/>
              <w:rPr>
                <w:rFonts w:ascii="Times New Roman" w:hAnsi="Times New Roman" w:cs="Times New Roman"/>
                <w:color w:val="000000"/>
                <w:sz w:val="20"/>
                <w:szCs w:val="20"/>
              </w:rPr>
            </w:pPr>
            <w:r w:rsidRPr="002654B5">
              <w:rPr>
                <w:rFonts w:ascii="Times New Roman" w:hAnsi="Times New Roman" w:cs="Times New Roman"/>
                <w:color w:val="000000"/>
                <w:sz w:val="20"/>
                <w:szCs w:val="20"/>
              </w:rPr>
              <w:t xml:space="preserve"> в т. ч.  объектов генерации, МВт</w:t>
            </w:r>
          </w:p>
        </w:tc>
        <w:tc>
          <w:tcPr>
            <w:tcW w:w="118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13,2</w:t>
            </w:r>
          </w:p>
        </w:tc>
        <w:tc>
          <w:tcPr>
            <w:tcW w:w="114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0</w:t>
            </w:r>
          </w:p>
        </w:tc>
        <w:tc>
          <w:tcPr>
            <w:tcW w:w="110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0</w:t>
            </w:r>
          </w:p>
        </w:tc>
        <w:tc>
          <w:tcPr>
            <w:tcW w:w="9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0</w:t>
            </w:r>
          </w:p>
        </w:tc>
        <w:tc>
          <w:tcPr>
            <w:tcW w:w="10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0</w:t>
            </w:r>
          </w:p>
        </w:tc>
      </w:tr>
      <w:tr w:rsidR="001170D9" w:rsidRPr="002654B5" w:rsidTr="001170D9">
        <w:trPr>
          <w:trHeight w:val="284"/>
        </w:trPr>
        <w:tc>
          <w:tcPr>
            <w:tcW w:w="3959" w:type="dxa"/>
            <w:shd w:val="clear" w:color="auto" w:fill="auto"/>
            <w:vAlign w:val="center"/>
          </w:tcPr>
          <w:p w:rsidR="001170D9" w:rsidRPr="002654B5" w:rsidRDefault="001170D9" w:rsidP="0096073D">
            <w:pPr>
              <w:spacing w:after="0" w:line="240" w:lineRule="auto"/>
              <w:rPr>
                <w:rFonts w:ascii="Times New Roman" w:hAnsi="Times New Roman" w:cs="Times New Roman"/>
                <w:color w:val="000000"/>
                <w:sz w:val="20"/>
                <w:szCs w:val="20"/>
              </w:rPr>
            </w:pPr>
            <w:r w:rsidRPr="002654B5">
              <w:rPr>
                <w:rFonts w:ascii="Times New Roman" w:hAnsi="Times New Roman" w:cs="Times New Roman"/>
                <w:color w:val="000000"/>
                <w:sz w:val="20"/>
                <w:szCs w:val="20"/>
              </w:rPr>
              <w:t>Количество присоединений до 15 кВт, шт.</w:t>
            </w:r>
          </w:p>
        </w:tc>
        <w:tc>
          <w:tcPr>
            <w:tcW w:w="118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2 967</w:t>
            </w:r>
          </w:p>
        </w:tc>
        <w:tc>
          <w:tcPr>
            <w:tcW w:w="114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1 896</w:t>
            </w:r>
          </w:p>
        </w:tc>
        <w:tc>
          <w:tcPr>
            <w:tcW w:w="110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2 699</w:t>
            </w:r>
          </w:p>
        </w:tc>
        <w:tc>
          <w:tcPr>
            <w:tcW w:w="9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803</w:t>
            </w:r>
          </w:p>
        </w:tc>
        <w:tc>
          <w:tcPr>
            <w:tcW w:w="10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61</w:t>
            </w:r>
          </w:p>
        </w:tc>
      </w:tr>
      <w:tr w:rsidR="001170D9" w:rsidRPr="002654B5" w:rsidTr="001170D9">
        <w:trPr>
          <w:trHeight w:val="118"/>
        </w:trPr>
        <w:tc>
          <w:tcPr>
            <w:tcW w:w="3959" w:type="dxa"/>
            <w:shd w:val="clear" w:color="auto" w:fill="auto"/>
            <w:vAlign w:val="center"/>
          </w:tcPr>
          <w:p w:rsidR="001170D9" w:rsidRPr="002654B5" w:rsidRDefault="001170D9" w:rsidP="0096073D">
            <w:pPr>
              <w:spacing w:after="0" w:line="240" w:lineRule="auto"/>
              <w:rPr>
                <w:rFonts w:ascii="Times New Roman" w:hAnsi="Times New Roman" w:cs="Times New Roman"/>
                <w:color w:val="000000"/>
                <w:sz w:val="20"/>
                <w:szCs w:val="20"/>
              </w:rPr>
            </w:pPr>
            <w:r w:rsidRPr="002654B5">
              <w:rPr>
                <w:rFonts w:ascii="Times New Roman" w:hAnsi="Times New Roman" w:cs="Times New Roman"/>
                <w:color w:val="000000"/>
                <w:sz w:val="20"/>
                <w:szCs w:val="20"/>
              </w:rPr>
              <w:t>Выручка от услуг по ТП, млн. руб.</w:t>
            </w:r>
          </w:p>
        </w:tc>
        <w:tc>
          <w:tcPr>
            <w:tcW w:w="118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30,7</w:t>
            </w:r>
          </w:p>
        </w:tc>
        <w:tc>
          <w:tcPr>
            <w:tcW w:w="114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1 754,3</w:t>
            </w:r>
          </w:p>
        </w:tc>
        <w:tc>
          <w:tcPr>
            <w:tcW w:w="110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32,4</w:t>
            </w:r>
          </w:p>
        </w:tc>
        <w:tc>
          <w:tcPr>
            <w:tcW w:w="9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- 1 721,9</w:t>
            </w:r>
          </w:p>
        </w:tc>
        <w:tc>
          <w:tcPr>
            <w:tcW w:w="10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-10 059</w:t>
            </w:r>
          </w:p>
        </w:tc>
      </w:tr>
      <w:tr w:rsidR="001170D9" w:rsidRPr="002654B5" w:rsidTr="001170D9">
        <w:trPr>
          <w:trHeight w:val="78"/>
        </w:trPr>
        <w:tc>
          <w:tcPr>
            <w:tcW w:w="3959" w:type="dxa"/>
            <w:shd w:val="clear" w:color="auto" w:fill="auto"/>
            <w:vAlign w:val="center"/>
          </w:tcPr>
          <w:p w:rsidR="001170D9" w:rsidRPr="002654B5" w:rsidRDefault="001170D9" w:rsidP="0096073D">
            <w:pPr>
              <w:spacing w:after="0" w:line="240" w:lineRule="auto"/>
              <w:rPr>
                <w:rFonts w:ascii="Times New Roman" w:hAnsi="Times New Roman" w:cs="Times New Roman"/>
                <w:color w:val="000000"/>
                <w:sz w:val="20"/>
                <w:szCs w:val="20"/>
              </w:rPr>
            </w:pPr>
            <w:r w:rsidRPr="002654B5">
              <w:rPr>
                <w:rFonts w:ascii="Times New Roman" w:hAnsi="Times New Roman" w:cs="Times New Roman"/>
                <w:color w:val="000000"/>
                <w:sz w:val="20"/>
                <w:szCs w:val="20"/>
              </w:rPr>
              <w:t>Поступление денежных средств, млн руб. (С НДС)</w:t>
            </w:r>
          </w:p>
        </w:tc>
        <w:tc>
          <w:tcPr>
            <w:tcW w:w="118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2 104,3</w:t>
            </w:r>
          </w:p>
        </w:tc>
        <w:tc>
          <w:tcPr>
            <w:tcW w:w="114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27,0</w:t>
            </w:r>
          </w:p>
        </w:tc>
        <w:tc>
          <w:tcPr>
            <w:tcW w:w="110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457,4</w:t>
            </w:r>
          </w:p>
        </w:tc>
        <w:tc>
          <w:tcPr>
            <w:tcW w:w="9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430,4</w:t>
            </w:r>
          </w:p>
        </w:tc>
        <w:tc>
          <w:tcPr>
            <w:tcW w:w="1060" w:type="dxa"/>
            <w:shd w:val="clear" w:color="auto" w:fill="auto"/>
            <w:vAlign w:val="center"/>
          </w:tcPr>
          <w:p w:rsidR="001170D9" w:rsidRPr="002654B5" w:rsidRDefault="001170D9" w:rsidP="0096073D">
            <w:pPr>
              <w:pStyle w:val="afffb"/>
              <w:spacing w:before="0" w:after="0"/>
              <w:jc w:val="center"/>
              <w:rPr>
                <w:color w:val="000000"/>
                <w:sz w:val="20"/>
                <w:szCs w:val="20"/>
              </w:rPr>
            </w:pPr>
            <w:r w:rsidRPr="002654B5">
              <w:rPr>
                <w:color w:val="000000"/>
                <w:sz w:val="20"/>
                <w:szCs w:val="20"/>
              </w:rPr>
              <w:t>2 116</w:t>
            </w:r>
          </w:p>
        </w:tc>
      </w:tr>
    </w:tbl>
    <w:p w:rsidR="001170D9" w:rsidRDefault="001170D9" w:rsidP="001170D9">
      <w:pPr>
        <w:pStyle w:val="afffff2"/>
        <w:rPr>
          <w:rFonts w:eastAsiaTheme="minorHAnsi"/>
          <w:lang w:eastAsia="en-US"/>
        </w:rPr>
      </w:pPr>
    </w:p>
    <w:p w:rsidR="001170D9" w:rsidRDefault="001170D9" w:rsidP="001170D9">
      <w:pPr>
        <w:pStyle w:val="afffff2"/>
        <w:ind w:firstLine="709"/>
        <w:rPr>
          <w:rFonts w:eastAsiaTheme="minorHAnsi"/>
          <w:lang w:eastAsia="en-US"/>
        </w:rPr>
      </w:pPr>
      <w:r>
        <w:rPr>
          <w:rFonts w:eastAsiaTheme="minorHAnsi"/>
          <w:lang w:eastAsia="en-US"/>
        </w:rPr>
        <w:t>Отклонение фактических показателей от плановых значений объясняются следующим факторами:</w:t>
      </w:r>
    </w:p>
    <w:p w:rsidR="001170D9" w:rsidRDefault="001170D9" w:rsidP="001170D9">
      <w:pPr>
        <w:pStyle w:val="afffff2"/>
        <w:rPr>
          <w:rFonts w:eastAsiaTheme="minorHAnsi"/>
          <w:lang w:eastAsia="en-US"/>
        </w:rPr>
      </w:pPr>
      <w:r>
        <w:rPr>
          <w:rFonts w:eastAsiaTheme="minorHAnsi"/>
          <w:lang w:eastAsia="en-US"/>
        </w:rPr>
        <w:t>1. «Выручка от услуг по ТП» и «Объем присоединяемой мощности» - снижение показателей обусловлено переносом срока по договору ТП на 2024 ВГТРК «Ведучи» с планируемой выручкой 1 724,0 млн рублей без НДС и максимальной мощностью 10 МВт.</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«Поступление денежных средств по ТП» - резкий рост показателя обусловлен поступлением денежных средств по договорам ТП свыше 670 кВт: ГУП «Интерсеть» (Аэропорт «Северный») - 200 млн руб. с НДС, а также по договорам ТП на объекты генерации – 51 млн рублей с НДС и по договору с ФКУ «Дирекция государственного заказчика по реализации комплексных проектов развития транспортной инфраструктуры» (взлетная полоса Аэропорта) – 13 млн рублей с НДС.</w:t>
      </w:r>
    </w:p>
    <w:p w:rsidR="001170D9" w:rsidRDefault="001170D9" w:rsidP="001170D9">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целях повышения качества услуг по технологическому присоединению (далее – ТП) в Обществе осуществлены следующие мероприятия:</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t xml:space="preserve">Утвержден (приказом ПАО «Россети Северный Кавказ» от 28.02.2023 №70 (в редакции приказа от 28.09.2023)) и реализуется План корректирующих мероприятий по устранению нарушений/недостатков, выявленных по результатам пост-аудита по итогам комплексной проверки финансово-хозяйственной деятельности ПАО «Россети Северный Кавказ» (далее – План) и управляемого общества АО «Чеченэнерго». </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В рамках реализации мероприятий Плана (пп.: 493.3) ведется разработка и внедрение функциональных требований в Автоматизированной системе управления технологическим присоединением потребителей на типовой платформе 1С: Предприятие 8. Энергетика (далее – АСУТППЭ), позволяющих:</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повысить скорость работы специалистов с документами системы, ускорить процесс принятия заявки от заявителя на технологическое присоединение, повысить эргономичность системы, сократить срок процесса принятия заявки от заявителя на ТП, проверять соблюдение требований к форме, полноте сведений в заявке и наличие документов, приложенных к заявке, в соответствии с нормативными правовыми актами и организационно-распорядительными документами;</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обеспечить контроль за внесением информации по заявкам на технологическое присоединение, заключенных договоров ТП и исполненных договоров ТП в АСУТППЭ, подготовкой сетевой отчетности, получение сводной и детализированной информации;</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усилить контроль за соблюдением требований законодательства и обеспечить своевременное направление оферт договоров ТП заявителям.</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2. В рамках мероприятий по повышению качества и доступности услуг, совершенствования стандартов обслуживания потребителей по технологическому присоединению в Обществе в 2023 году проводился постоянный мониторинг процедуры принятия и рассмотрения заявок на ТП в офисах очного обслуживания потребителей сетевой компании, особое внимание уделено информационно-разъяснительной работе в рамках оказания услуг по ТП.</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rPr>
        <w:tab/>
        <w:t>По итогам ежегодного Национального рейтинга состояния инвестиционного климата в субъектах Российской Федерации, опубликованного в отчетный период, в части фактора А5 «Эффективность процедур по подключению электроэнергии» Общество указанный показатель выполнило с фактическим значением 113,1 % при плановом 100 %.</w:t>
      </w:r>
    </w:p>
    <w:p w:rsidR="001170D9" w:rsidRDefault="001170D9" w:rsidP="001170D9">
      <w:pPr>
        <w:tabs>
          <w:tab w:val="left" w:pos="993"/>
        </w:tabs>
        <w:spacing w:after="0" w:line="240" w:lineRule="auto"/>
        <w:ind w:firstLine="709"/>
        <w:jc w:val="both"/>
        <w:rPr>
          <w:rFonts w:ascii="Times New Roman" w:hAnsi="Times New Roman" w:cs="Times New Roman"/>
          <w:sz w:val="24"/>
          <w:szCs w:val="24"/>
        </w:rPr>
      </w:pPr>
    </w:p>
    <w:p w:rsidR="001170D9" w:rsidRDefault="001170D9" w:rsidP="001170D9">
      <w:pPr>
        <w:tabs>
          <w:tab w:val="left" w:pos="1134"/>
        </w:tabs>
        <w:spacing w:before="100" w:beforeAutospacing="1" w:after="100" w:afterAutospacing="1" w:line="240" w:lineRule="auto"/>
        <w:contextualSpacing/>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lastRenderedPageBreak/>
        <w:t>Группа показателей фактора А5 – «Эффективность процедур по подключению к электросетям» в рамках формирования Национального рейтинга 2023 года</w:t>
      </w:r>
    </w:p>
    <w:p w:rsidR="001170D9" w:rsidRDefault="001170D9" w:rsidP="001170D9">
      <w:pPr>
        <w:tabs>
          <w:tab w:val="left" w:pos="1134"/>
        </w:tabs>
        <w:spacing w:before="100" w:beforeAutospacing="1" w:after="100" w:afterAutospacing="1" w:line="240" w:lineRule="auto"/>
        <w:contextualSpacing/>
        <w:jc w:val="center"/>
        <w:rPr>
          <w:rFonts w:ascii="Times New Roman" w:eastAsia="Times New Roman" w:hAnsi="Times New Roman" w:cs="Times New Roman"/>
          <w:b/>
          <w:sz w:val="24"/>
          <w:szCs w:val="24"/>
          <w:lang w:eastAsia="ar-SA"/>
        </w:rPr>
      </w:pPr>
    </w:p>
    <w:p w:rsidR="001170D9" w:rsidRDefault="001170D9" w:rsidP="001170D9">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Количественные показатели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984"/>
        <w:gridCol w:w="1985"/>
        <w:gridCol w:w="1984"/>
      </w:tblGrid>
      <w:tr w:rsidR="001170D9" w:rsidTr="001170D9">
        <w:trPr>
          <w:trHeight w:val="166"/>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Показатель</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А5.1</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А5.2</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А5.3</w:t>
            </w:r>
          </w:p>
        </w:tc>
      </w:tr>
      <w:tr w:rsidR="001170D9" w:rsidTr="001170D9">
        <w:trPr>
          <w:trHeight w:val="1179"/>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Наименование показателя</w:t>
            </w:r>
          </w:p>
        </w:tc>
        <w:tc>
          <w:tcPr>
            <w:tcW w:w="1984"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Среднее время подключения к электросетям</w:t>
            </w:r>
          </w:p>
        </w:tc>
        <w:tc>
          <w:tcPr>
            <w:tcW w:w="1985"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Среднее количество процедур при подключении к электросетям</w:t>
            </w:r>
          </w:p>
        </w:tc>
        <w:tc>
          <w:tcPr>
            <w:tcW w:w="1984"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Оценка эффективности подключения к электросетям</w:t>
            </w:r>
          </w:p>
        </w:tc>
      </w:tr>
      <w:tr w:rsidR="001170D9" w:rsidTr="001170D9">
        <w:trPr>
          <w:trHeight w:val="274"/>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Единица измерения</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Рабочие дни</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Шт.</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Средний балл</w:t>
            </w:r>
          </w:p>
        </w:tc>
      </w:tr>
      <w:tr w:rsidR="001170D9" w:rsidTr="001170D9">
        <w:trPr>
          <w:trHeight w:val="265"/>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Регион</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А5.1</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А5.2</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А5.3</w:t>
            </w:r>
          </w:p>
        </w:tc>
      </w:tr>
      <w:tr w:rsidR="001170D9" w:rsidTr="001170D9">
        <w:trPr>
          <w:trHeight w:val="315"/>
        </w:trPr>
        <w:tc>
          <w:tcPr>
            <w:tcW w:w="3681" w:type="dxa"/>
            <w:shd w:val="clear" w:color="auto" w:fill="auto"/>
            <w:noWrap/>
            <w:vAlign w:val="bottom"/>
          </w:tcPr>
          <w:p w:rsidR="001170D9" w:rsidRDefault="001170D9" w:rsidP="001170D9">
            <w:pPr>
              <w:spacing w:after="0" w:line="240" w:lineRule="auto"/>
              <w:ind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Чеченская Республика</w:t>
            </w:r>
          </w:p>
        </w:tc>
        <w:tc>
          <w:tcPr>
            <w:tcW w:w="1984"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48,98</w:t>
            </w:r>
          </w:p>
        </w:tc>
        <w:tc>
          <w:tcPr>
            <w:tcW w:w="1985"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w:t>
            </w:r>
          </w:p>
        </w:tc>
        <w:tc>
          <w:tcPr>
            <w:tcW w:w="1984"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4,76</w:t>
            </w:r>
          </w:p>
        </w:tc>
      </w:tr>
    </w:tbl>
    <w:p w:rsidR="001170D9" w:rsidRDefault="001170D9" w:rsidP="001170D9">
      <w:pPr>
        <w:spacing w:after="0" w:line="240" w:lineRule="auto"/>
        <w:rPr>
          <w:rFonts w:ascii="Times New Roman" w:eastAsia="Times New Roman" w:hAnsi="Times New Roman" w:cs="Times New Roman"/>
          <w:b/>
          <w:sz w:val="24"/>
          <w:szCs w:val="24"/>
          <w:lang w:eastAsia="ar-SA"/>
        </w:rPr>
      </w:pPr>
    </w:p>
    <w:p w:rsidR="00296BE1" w:rsidRDefault="00296BE1" w:rsidP="001170D9">
      <w:pPr>
        <w:spacing w:after="0" w:line="240" w:lineRule="auto"/>
        <w:rPr>
          <w:rFonts w:ascii="Times New Roman" w:eastAsia="Times New Roman" w:hAnsi="Times New Roman" w:cs="Times New Roman"/>
          <w:b/>
          <w:sz w:val="24"/>
          <w:szCs w:val="24"/>
          <w:lang w:eastAsia="ar-SA"/>
        </w:rPr>
      </w:pPr>
    </w:p>
    <w:p w:rsidR="001170D9" w:rsidRDefault="001170D9" w:rsidP="001170D9">
      <w:pPr>
        <w:spacing w:after="0" w:line="240" w:lineRule="auto"/>
        <w:jc w:val="cente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Показатель в рамках группы</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1984"/>
        <w:gridCol w:w="1985"/>
        <w:gridCol w:w="1984"/>
      </w:tblGrid>
      <w:tr w:rsidR="001170D9" w:rsidTr="0096073D">
        <w:trPr>
          <w:trHeight w:val="251"/>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Показатель</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А5.1</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А5.2</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А5.3</w:t>
            </w:r>
          </w:p>
        </w:tc>
      </w:tr>
      <w:tr w:rsidR="001170D9" w:rsidTr="0096073D">
        <w:trPr>
          <w:trHeight w:val="1097"/>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Наименование показателя</w:t>
            </w:r>
          </w:p>
        </w:tc>
        <w:tc>
          <w:tcPr>
            <w:tcW w:w="1984"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Среднее время подключения к электросетям</w:t>
            </w:r>
          </w:p>
        </w:tc>
        <w:tc>
          <w:tcPr>
            <w:tcW w:w="1985"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Среднее количество процедур при подключении к электросетям</w:t>
            </w:r>
          </w:p>
        </w:tc>
        <w:tc>
          <w:tcPr>
            <w:tcW w:w="1984" w:type="dxa"/>
            <w:shd w:val="clear" w:color="auto" w:fill="auto"/>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Оценка эффективности подключения к электросетям</w:t>
            </w:r>
          </w:p>
        </w:tc>
      </w:tr>
      <w:tr w:rsidR="001170D9" w:rsidTr="0096073D">
        <w:trPr>
          <w:trHeight w:val="173"/>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Единица измерения</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Рабочие дни</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Шт.</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Средний балл</w:t>
            </w:r>
          </w:p>
        </w:tc>
      </w:tr>
      <w:tr w:rsidR="001170D9" w:rsidTr="0096073D">
        <w:trPr>
          <w:trHeight w:val="190"/>
        </w:trPr>
        <w:tc>
          <w:tcPr>
            <w:tcW w:w="3681"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Регион</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А5.1</w:t>
            </w:r>
          </w:p>
        </w:tc>
        <w:tc>
          <w:tcPr>
            <w:tcW w:w="1985"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А5.2</w:t>
            </w:r>
          </w:p>
        </w:tc>
        <w:tc>
          <w:tcPr>
            <w:tcW w:w="1984" w:type="dxa"/>
            <w:shd w:val="clear" w:color="auto" w:fill="auto"/>
            <w:vAlign w:val="center"/>
          </w:tcPr>
          <w:p w:rsidR="001170D9" w:rsidRDefault="001170D9" w:rsidP="001170D9">
            <w:pPr>
              <w:spacing w:after="0" w:line="240" w:lineRule="auto"/>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А5.3</w:t>
            </w:r>
          </w:p>
        </w:tc>
      </w:tr>
      <w:tr w:rsidR="001170D9" w:rsidTr="0096073D">
        <w:trPr>
          <w:trHeight w:val="315"/>
        </w:trPr>
        <w:tc>
          <w:tcPr>
            <w:tcW w:w="3681" w:type="dxa"/>
            <w:shd w:val="clear" w:color="auto" w:fill="auto"/>
            <w:noWrap/>
            <w:vAlign w:val="bottom"/>
          </w:tcPr>
          <w:p w:rsidR="001170D9" w:rsidRDefault="001170D9" w:rsidP="001170D9">
            <w:pPr>
              <w:spacing w:after="0" w:line="240" w:lineRule="auto"/>
              <w:ind w:firstLine="20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Чеченская Республика</w:t>
            </w:r>
          </w:p>
        </w:tc>
        <w:tc>
          <w:tcPr>
            <w:tcW w:w="1984"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w:t>
            </w:r>
          </w:p>
        </w:tc>
        <w:tc>
          <w:tcPr>
            <w:tcW w:w="1985"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w:t>
            </w:r>
          </w:p>
        </w:tc>
        <w:tc>
          <w:tcPr>
            <w:tcW w:w="1984" w:type="dxa"/>
            <w:shd w:val="clear" w:color="auto" w:fill="auto"/>
            <w:noWrap/>
            <w:vAlign w:val="center"/>
          </w:tcPr>
          <w:p w:rsidR="001170D9" w:rsidRDefault="001170D9" w:rsidP="001170D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А</w:t>
            </w:r>
          </w:p>
        </w:tc>
      </w:tr>
    </w:tbl>
    <w:p w:rsidR="001170D9" w:rsidRDefault="001170D9" w:rsidP="001170D9">
      <w:pPr>
        <w:tabs>
          <w:tab w:val="left" w:pos="993"/>
        </w:tabs>
        <w:spacing w:after="0" w:line="240" w:lineRule="auto"/>
        <w:jc w:val="both"/>
        <w:rPr>
          <w:rFonts w:ascii="Times New Roman" w:hAnsi="Times New Roman" w:cs="Times New Roman"/>
          <w:sz w:val="24"/>
          <w:szCs w:val="24"/>
        </w:rPr>
      </w:pPr>
    </w:p>
    <w:p w:rsidR="001170D9" w:rsidRDefault="001170D9" w:rsidP="001170D9">
      <w:pPr>
        <w:tabs>
          <w:tab w:val="left" w:pos="993"/>
        </w:tabs>
        <w:spacing w:after="0" w:line="240" w:lineRule="auto"/>
        <w:jc w:val="center"/>
        <w:rPr>
          <w:rFonts w:ascii="Times New Roman" w:hAnsi="Times New Roman" w:cs="Times New Roman"/>
          <w:sz w:val="32"/>
          <w:szCs w:val="32"/>
        </w:rPr>
      </w:pPr>
      <w:r>
        <w:rPr>
          <w:rFonts w:ascii="Times New Roman" w:eastAsia="Times New Roman" w:hAnsi="Times New Roman" w:cs="Times New Roman"/>
          <w:sz w:val="24"/>
          <w:szCs w:val="24"/>
        </w:rPr>
        <w:t>Сравнительный анализ статистических данных с результатами предыдущего периода</w:t>
      </w:r>
    </w:p>
    <w:tbl>
      <w:tblPr>
        <w:tblW w:w="0" w:type="auto"/>
        <w:tblLayout w:type="fixed"/>
        <w:tblLook w:val="0600" w:firstRow="0" w:lastRow="0" w:firstColumn="0" w:lastColumn="0" w:noHBand="1" w:noVBand="1"/>
      </w:tblPr>
      <w:tblGrid>
        <w:gridCol w:w="1610"/>
        <w:gridCol w:w="2201"/>
        <w:gridCol w:w="1714"/>
        <w:gridCol w:w="1740"/>
        <w:gridCol w:w="2271"/>
      </w:tblGrid>
      <w:tr w:rsidR="001170D9" w:rsidTr="001170D9">
        <w:trPr>
          <w:trHeight w:val="1529"/>
        </w:trPr>
        <w:tc>
          <w:tcPr>
            <w:tcW w:w="161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tabs>
                <w:tab w:val="left" w:pos="4677"/>
              </w:tabs>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rPr>
              <w:t>Регион</w:t>
            </w:r>
          </w:p>
        </w:tc>
        <w:tc>
          <w:tcPr>
            <w:tcW w:w="220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rPr>
              <w:t>Период</w:t>
            </w:r>
          </w:p>
        </w:tc>
        <w:tc>
          <w:tcPr>
            <w:tcW w:w="17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rPr>
              <w:t>Среднее время подключения к электросетям (А5.1)</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rPr>
              <w:t>Среднее количество процедур при подключении к электросетям (А5.2)</w:t>
            </w:r>
          </w:p>
        </w:tc>
        <w:tc>
          <w:tcPr>
            <w:tcW w:w="2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b/>
                <w:bCs/>
                <w:sz w:val="20"/>
                <w:szCs w:val="20"/>
              </w:rPr>
            </w:pPr>
            <w:r>
              <w:rPr>
                <w:rFonts w:ascii="Times New Roman" w:eastAsia="Times New Roman" w:hAnsi="Times New Roman" w:cs="Times New Roman"/>
                <w:b/>
                <w:bCs/>
                <w:sz w:val="20"/>
                <w:szCs w:val="20"/>
              </w:rPr>
              <w:t>Удовлетворенность эффективностью процедур по подключению к электросетям (А5.3)</w:t>
            </w:r>
          </w:p>
        </w:tc>
      </w:tr>
      <w:tr w:rsidR="001170D9" w:rsidTr="001170D9">
        <w:trPr>
          <w:trHeight w:val="417"/>
        </w:trPr>
        <w:tc>
          <w:tcPr>
            <w:tcW w:w="1610" w:type="dxa"/>
            <w:vMerge/>
            <w:tcBorders>
              <w:top w:val="single" w:sz="4" w:space="0" w:color="000000"/>
              <w:left w:val="single" w:sz="4" w:space="0" w:color="000000"/>
              <w:bottom w:val="single" w:sz="4" w:space="0" w:color="000000"/>
              <w:right w:val="single" w:sz="4" w:space="0" w:color="000000"/>
            </w:tcBorders>
            <w:shd w:val="clear" w:color="auto" w:fill="auto"/>
          </w:tcPr>
          <w:p w:rsidR="001170D9" w:rsidRDefault="001170D9" w:rsidP="001170D9">
            <w:pPr>
              <w:spacing w:after="0" w:line="240" w:lineRule="auto"/>
            </w:pPr>
          </w:p>
        </w:tc>
        <w:tc>
          <w:tcPr>
            <w:tcW w:w="2201" w:type="dxa"/>
            <w:vMerge/>
            <w:tcBorders>
              <w:top w:val="single" w:sz="4" w:space="0" w:color="000000"/>
              <w:left w:val="single" w:sz="4" w:space="0" w:color="000000"/>
              <w:bottom w:val="single" w:sz="4" w:space="0" w:color="000000"/>
              <w:right w:val="single" w:sz="4" w:space="0" w:color="000000"/>
            </w:tcBorders>
            <w:shd w:val="clear" w:color="auto" w:fill="auto"/>
          </w:tcPr>
          <w:p w:rsidR="001170D9" w:rsidRDefault="001170D9" w:rsidP="001170D9">
            <w:pPr>
              <w:spacing w:after="0" w:line="240" w:lineRule="auto"/>
            </w:pPr>
          </w:p>
        </w:tc>
        <w:tc>
          <w:tcPr>
            <w:tcW w:w="17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дни</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шт.</w:t>
            </w:r>
          </w:p>
        </w:tc>
        <w:tc>
          <w:tcPr>
            <w:tcW w:w="2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Оценка от 1 до 5</w:t>
            </w:r>
          </w:p>
        </w:tc>
      </w:tr>
      <w:tr w:rsidR="001170D9" w:rsidTr="001170D9">
        <w:trPr>
          <w:trHeight w:val="369"/>
        </w:trPr>
        <w:tc>
          <w:tcPr>
            <w:tcW w:w="161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Чеченская Республика</w:t>
            </w:r>
          </w:p>
        </w:tc>
        <w:tc>
          <w:tcPr>
            <w:tcW w:w="22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2022</w:t>
            </w:r>
          </w:p>
        </w:tc>
        <w:tc>
          <w:tcPr>
            <w:tcW w:w="17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68</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6</w:t>
            </w:r>
          </w:p>
        </w:tc>
        <w:tc>
          <w:tcPr>
            <w:tcW w:w="2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1170D9">
            <w:pPr>
              <w:spacing w:after="0" w:line="240" w:lineRule="auto"/>
              <w:jc w:val="center"/>
              <w:rPr>
                <w:rFonts w:ascii="Times New Roman" w:hAnsi="Times New Roman" w:cs="Times New Roman"/>
                <w:sz w:val="20"/>
                <w:szCs w:val="20"/>
              </w:rPr>
            </w:pPr>
            <w:r>
              <w:rPr>
                <w:rFonts w:ascii="Times New Roman" w:eastAsia="Times New Roman" w:hAnsi="Times New Roman" w:cs="Times New Roman"/>
                <w:sz w:val="20"/>
                <w:szCs w:val="20"/>
              </w:rPr>
              <w:t>4,48</w:t>
            </w:r>
          </w:p>
        </w:tc>
      </w:tr>
      <w:tr w:rsidR="001170D9" w:rsidTr="001170D9">
        <w:trPr>
          <w:trHeight w:val="305"/>
        </w:trPr>
        <w:tc>
          <w:tcPr>
            <w:tcW w:w="1610" w:type="dxa"/>
            <w:vMerge/>
            <w:tcBorders>
              <w:top w:val="single" w:sz="4" w:space="0" w:color="000000"/>
              <w:left w:val="single" w:sz="4" w:space="0" w:color="000000"/>
              <w:bottom w:val="single" w:sz="4" w:space="0" w:color="000000"/>
              <w:right w:val="single" w:sz="4" w:space="0" w:color="000000"/>
            </w:tcBorders>
            <w:shd w:val="clear" w:color="auto" w:fill="auto"/>
          </w:tcPr>
          <w:p w:rsidR="001170D9" w:rsidRDefault="001170D9" w:rsidP="0096073D"/>
        </w:tc>
        <w:tc>
          <w:tcPr>
            <w:tcW w:w="220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96073D">
            <w:pPr>
              <w:jc w:val="center"/>
              <w:rPr>
                <w:rFonts w:ascii="Times New Roman" w:hAnsi="Times New Roman" w:cs="Times New Roman"/>
                <w:sz w:val="20"/>
                <w:szCs w:val="20"/>
              </w:rPr>
            </w:pPr>
            <w:r>
              <w:rPr>
                <w:rFonts w:ascii="Times New Roman" w:eastAsia="Times New Roman" w:hAnsi="Times New Roman" w:cs="Times New Roman"/>
                <w:sz w:val="20"/>
                <w:szCs w:val="20"/>
              </w:rPr>
              <w:t>2023</w:t>
            </w:r>
          </w:p>
        </w:tc>
        <w:tc>
          <w:tcPr>
            <w:tcW w:w="171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96073D">
            <w:pPr>
              <w:jc w:val="center"/>
              <w:rPr>
                <w:rFonts w:ascii="Times New Roman" w:hAnsi="Times New Roman" w:cs="Times New Roman"/>
                <w:sz w:val="20"/>
                <w:szCs w:val="20"/>
              </w:rPr>
            </w:pPr>
            <w:r>
              <w:rPr>
                <w:rFonts w:ascii="Times New Roman" w:eastAsia="Times New Roman" w:hAnsi="Times New Roman" w:cs="Times New Roman"/>
                <w:sz w:val="20"/>
                <w:szCs w:val="20"/>
              </w:rPr>
              <w:t>48,98</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96073D">
            <w:pPr>
              <w:jc w:val="center"/>
              <w:rPr>
                <w:rFonts w:ascii="Times New Roman" w:hAnsi="Times New Roman" w:cs="Times New Roman"/>
                <w:sz w:val="20"/>
                <w:szCs w:val="20"/>
              </w:rPr>
            </w:pPr>
            <w:r>
              <w:rPr>
                <w:rFonts w:ascii="Times New Roman" w:eastAsia="Times New Roman" w:hAnsi="Times New Roman" w:cs="Times New Roman"/>
                <w:sz w:val="20"/>
                <w:szCs w:val="20"/>
              </w:rPr>
              <w:t>3,98</w:t>
            </w:r>
          </w:p>
        </w:tc>
        <w:tc>
          <w:tcPr>
            <w:tcW w:w="227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rsidR="001170D9" w:rsidRDefault="001170D9" w:rsidP="0096073D">
            <w:pPr>
              <w:jc w:val="center"/>
              <w:rPr>
                <w:rFonts w:ascii="Times New Roman" w:hAnsi="Times New Roman" w:cs="Times New Roman"/>
                <w:sz w:val="20"/>
                <w:szCs w:val="20"/>
              </w:rPr>
            </w:pPr>
            <w:r>
              <w:rPr>
                <w:rFonts w:ascii="Times New Roman" w:eastAsia="Times New Roman" w:hAnsi="Times New Roman" w:cs="Times New Roman"/>
                <w:sz w:val="20"/>
                <w:szCs w:val="20"/>
              </w:rPr>
              <w:t>4,76</w:t>
            </w:r>
          </w:p>
        </w:tc>
      </w:tr>
    </w:tbl>
    <w:p w:rsidR="001170D9" w:rsidRPr="004371F2" w:rsidRDefault="001170D9" w:rsidP="004371F2">
      <w:pPr>
        <w:tabs>
          <w:tab w:val="left" w:pos="993"/>
        </w:tabs>
        <w:spacing w:after="0" w:line="240" w:lineRule="auto"/>
        <w:jc w:val="both"/>
        <w:rPr>
          <w:rFonts w:ascii="Times New Roman" w:hAnsi="Times New Roman" w:cs="Times New Roman"/>
          <w:sz w:val="24"/>
          <w:szCs w:val="24"/>
        </w:rPr>
      </w:pPr>
    </w:p>
    <w:p w:rsidR="000C4CCE" w:rsidRPr="00B369F9" w:rsidRDefault="000C4CCE" w:rsidP="005B2B61">
      <w:pPr>
        <w:pStyle w:val="1"/>
        <w:ind w:firstLine="709"/>
        <w:rPr>
          <w:b w:val="0"/>
          <w:lang w:eastAsia="ar-SA"/>
        </w:rPr>
      </w:pPr>
      <w:bookmarkStart w:id="19" w:name="_Toc163738864"/>
      <w:r w:rsidRPr="00B369F9">
        <w:rPr>
          <w:lang w:eastAsia="ar-SA"/>
        </w:rPr>
        <w:t>Взаимодействие с потребителями</w:t>
      </w:r>
      <w:bookmarkEnd w:id="19"/>
    </w:p>
    <w:p w:rsidR="000C4CCE" w:rsidRPr="00AA7352" w:rsidRDefault="000C4CCE" w:rsidP="00AA7352">
      <w:pPr>
        <w:pStyle w:val="afff"/>
        <w:ind w:firstLine="709"/>
        <w:jc w:val="both"/>
        <w:rPr>
          <w:rFonts w:ascii="Times New Roman" w:hAnsi="Times New Roman"/>
          <w:sz w:val="24"/>
          <w:szCs w:val="24"/>
        </w:rPr>
      </w:pP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1. Политика Общества в области взаимодействия с потребителями услуг носит клиентоориентированный характер, направленный на простоту и доступность взаимодействия потребителей услуг и Общества. В составе АО «Чеченэнерго» входит 16 районных и городских электрических сетей: Урус-Мартановские, Ачхой-Мартановские, Грозненско-сельские, Шалинские, Веденские, Шатойские, Итум-Калинские, Гудермесские, Ножай-Юртовские, Курчалоевские, Наурские, Надтеречные, Шелковские, Грозненские ГЭС, Аргунские ГЭС, Гудермесские ГЭС и Центральная группа.</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2. Взаимодействие с потребителями Общества осуществляется в соответствии с требованиями «Стандартов качества обслуживания потребителей услуг АО «Чеченэнерго» по трем формам обслуживания потребителей услуг: очный сервис, заочный сервис и интерактивный, который можно отнести к форме заочного обслуживания. </w:t>
      </w:r>
      <w:r w:rsidRPr="00AA7352">
        <w:rPr>
          <w:rFonts w:ascii="Times New Roman" w:hAnsi="Times New Roman"/>
          <w:sz w:val="24"/>
          <w:szCs w:val="24"/>
        </w:rPr>
        <w:lastRenderedPageBreak/>
        <w:t>Информационный обмен Общества с потребителями услуг осуществляется посредством каналов коммуникаций.</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2.1. Очная форма обслуживания предусматривает непосредственное обращение потребителей услуг в офисы обслуживания потребителей Общества: ЦОП (Центр обслуживание потребителей), расположенный в г. Грозный и 15 ПРП (Пункты по работе с потребителями), организованных на базе РЭС Общества. Такой формой обслуживания воспользовались в 2023 году 9, 7 тыс. потребителей.</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2.2. Заочное обслуживания потребителей услуг посредством телефонной связи в Обществе осуществляется посредством горячей линии энергетиков «Светлая линия 220» по федеральному номеру 8-800-220-0-220. Звонок на горячую линию энергетиков «Светлая линия 220» бесплатный.</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Прием звонков на горячую линию энергетиков «Светлая линия 220» по федеральному номеру 8-800-220-0-220 и единому короткому номеру 220 осуществляется круглосуточно без выходных и перерывов в формате 24х7х365.</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В 2023 году на горячую линию энергетиков «Светлая линия 220» по федеральному номеру 8-800-220-0-220 поступило </w:t>
      </w:r>
      <w:r w:rsidR="00B80FB0">
        <w:rPr>
          <w:rFonts w:ascii="Times New Roman" w:hAnsi="Times New Roman"/>
          <w:sz w:val="24"/>
          <w:szCs w:val="24"/>
        </w:rPr>
        <w:t>9,1</w:t>
      </w:r>
      <w:r w:rsidRPr="00AA7352">
        <w:rPr>
          <w:rFonts w:ascii="Times New Roman" w:hAnsi="Times New Roman"/>
          <w:sz w:val="24"/>
          <w:szCs w:val="24"/>
        </w:rPr>
        <w:t xml:space="preserve"> тыс. обращений потребителей услуг.</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2.3. Через канцелярию Общества было принято и рассмотрено 279 обращений потребителей услуг.</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2.4. Интерактивная форма обслуживания.</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Электронное (интерактивное) обслуживание потребителей Общества осуществляется с использованием Портала ТП, размещенного в информационной телекоммуникационной сети «Интернет» по адресу https://портал-тп.рф, и МП.</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В 2023 году посредством интерактивных сервисов поступило 5,1 тыс. обращений потребителей услуг.</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В 2023 году в Общество поступило </w:t>
      </w:r>
      <w:r w:rsidR="00B80FB0">
        <w:rPr>
          <w:rFonts w:ascii="Times New Roman" w:hAnsi="Times New Roman"/>
          <w:sz w:val="24"/>
          <w:szCs w:val="24"/>
        </w:rPr>
        <w:t>24,3</w:t>
      </w:r>
      <w:r w:rsidRPr="00AA7352">
        <w:rPr>
          <w:rFonts w:ascii="Times New Roman" w:hAnsi="Times New Roman"/>
          <w:sz w:val="24"/>
          <w:szCs w:val="24"/>
        </w:rPr>
        <w:t xml:space="preserve"> тыс. обращений потребителей услуг, снижение обращений в сравнении с 2022 составило </w:t>
      </w:r>
      <w:r w:rsidR="00B80FB0">
        <w:rPr>
          <w:rFonts w:ascii="Times New Roman" w:hAnsi="Times New Roman"/>
          <w:sz w:val="24"/>
          <w:szCs w:val="24"/>
        </w:rPr>
        <w:t>14,6</w:t>
      </w:r>
      <w:r w:rsidRPr="00AA7352">
        <w:rPr>
          <w:rFonts w:ascii="Times New Roman" w:hAnsi="Times New Roman"/>
          <w:sz w:val="24"/>
          <w:szCs w:val="24"/>
        </w:rPr>
        <w:t xml:space="preserve"> % в том числе: </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- 5, 7 тыс. – заявок на оказание услуг, из них 4, 9 тыс. заявок на технологическое присоединение, 13 заявок на переоформление мощности, 40 заявок на продление ТУ;</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- 6 – жалоб потребителей услуг, из них 1 жалоба по вопросам технологического присоединения, 1 жалоба на отключение электроэнергии и 4 жалобы по прочим тематикам.</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3. Реализованные в 2023 году и запланированные изменения.</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Для повышения качества и доступности услуг АО «Чеченэнерго», а также изучения удовлетворённости потребителей качеством оказываемых услуг Общества в 2023 году проведены исследования посредством анкетированного опроса в офисах очного обслуживания потребителей. Опрошено 151 респондент. 127 респондентов в целом выразили удовлетворённость деятельностью сетевой компании. </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На 2024 год запланированы следующие мероприятия:</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проведение письменных опросов потребителей;</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информирование потребителей в средствах массовой информации и через онлайн сервисы с целью доведения необходимой информации.</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развитие инфраструктуры очного обслуживания потребителей услуг</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развитие инфраструктуры заочного обслуживания потребителей услуг</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развитие спектра дополнительных платных услуг, оказываемых Обществом.</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4. Качество работы с потребителями услуг Общества можно оценить по итогам выполнения планового показателя качества оказываемых услуг по ТП, установленного в соответствии с требованиями действующего законодательства в области электроэнергетики. Фактический показатель уровня качества оказываемых услуг по ТП Общества за 2023 год полностью выполнен и улучшен на 5% от планового значения.  </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 xml:space="preserve">Общество в 2023 году Решением уполномоченного органа в области государственного регулирования тарифов (Главным Управлением по тарифам и ценам Чеченской Республики) на период 2023 год были установлены следующие плановые </w:t>
      </w:r>
      <w:r w:rsidRPr="00AA7352">
        <w:rPr>
          <w:rFonts w:ascii="Times New Roman" w:hAnsi="Times New Roman"/>
          <w:sz w:val="24"/>
          <w:szCs w:val="24"/>
        </w:rPr>
        <w:lastRenderedPageBreak/>
        <w:t>значения показателей надежности</w:t>
      </w:r>
      <w:r w:rsidRPr="00AA7352">
        <w:rPr>
          <w:rFonts w:ascii="Times New Roman" w:hAnsi="Times New Roman"/>
          <w:sz w:val="24"/>
          <w:szCs w:val="24"/>
        </w:rPr>
        <w:tab/>
        <w:t>Пsaidi, час.</w:t>
      </w:r>
      <w:r w:rsidRPr="00AA7352">
        <w:rPr>
          <w:rFonts w:ascii="Times New Roman" w:hAnsi="Times New Roman"/>
          <w:sz w:val="24"/>
          <w:szCs w:val="24"/>
        </w:rPr>
        <w:tab/>
        <w:t>4,5759</w:t>
      </w:r>
      <w:r w:rsidRPr="00AA7352">
        <w:rPr>
          <w:rFonts w:ascii="Times New Roman" w:hAnsi="Times New Roman"/>
          <w:sz w:val="24"/>
          <w:szCs w:val="24"/>
        </w:rPr>
        <w:tab/>
        <w:t xml:space="preserve">Пsaifi, шт, 6,7671 по факту 2023 года показатели составили Пsaidi, час. 5,3244, Пsaifi, шт. 5,6738, что является исполнением плановых показателей надежности оказываемых услуг в 2023 году. </w:t>
      </w:r>
    </w:p>
    <w:p w:rsidR="00243E8E" w:rsidRPr="00AA7352" w:rsidRDefault="00243E8E" w:rsidP="00AA7352">
      <w:pPr>
        <w:pStyle w:val="afff"/>
        <w:ind w:firstLine="709"/>
        <w:jc w:val="both"/>
        <w:rPr>
          <w:rFonts w:ascii="Times New Roman" w:hAnsi="Times New Roman"/>
          <w:sz w:val="24"/>
          <w:szCs w:val="24"/>
        </w:rPr>
      </w:pPr>
      <w:r w:rsidRPr="00AA7352">
        <w:rPr>
          <w:rFonts w:ascii="Times New Roman" w:hAnsi="Times New Roman"/>
          <w:sz w:val="24"/>
          <w:szCs w:val="24"/>
        </w:rPr>
        <w:t>Показатель уровня качества, осуществляемого ТП на 2023 год установлен на уровне 1, фактическое значение показателя за 2023 год составило 1,086, что не превышает установленных параметров на 2023 год в размере 25 % отклонения от установленных значений.</w:t>
      </w:r>
    </w:p>
    <w:p w:rsidR="00243E8E" w:rsidRPr="00243E8E" w:rsidRDefault="00243E8E" w:rsidP="00243E8E">
      <w:pPr>
        <w:spacing w:after="0" w:line="240" w:lineRule="auto"/>
        <w:rPr>
          <w:lang w:eastAsia="ar-SA"/>
        </w:rPr>
      </w:pPr>
    </w:p>
    <w:p w:rsidR="00F8333E" w:rsidRPr="00B369F9" w:rsidRDefault="00F8333E" w:rsidP="005B2B61">
      <w:pPr>
        <w:pStyle w:val="1"/>
        <w:ind w:firstLine="709"/>
        <w:rPr>
          <w:b w:val="0"/>
          <w:lang w:eastAsia="ar-SA"/>
        </w:rPr>
      </w:pPr>
      <w:bookmarkStart w:id="20" w:name="_Toc163738865"/>
      <w:r w:rsidRPr="00B369F9">
        <w:rPr>
          <w:lang w:eastAsia="ar-SA"/>
        </w:rPr>
        <w:t>Реализация дополнительных (нетарифных) услуг</w:t>
      </w:r>
      <w:bookmarkEnd w:id="20"/>
    </w:p>
    <w:p w:rsidR="00F8333E" w:rsidRPr="00B369F9" w:rsidRDefault="00F8333E" w:rsidP="007C7C02">
      <w:pPr>
        <w:spacing w:after="0" w:line="240" w:lineRule="auto"/>
        <w:ind w:firstLine="709"/>
        <w:jc w:val="both"/>
        <w:rPr>
          <w:rFonts w:ascii="Times New Roman" w:hAnsi="Times New Roman" w:cs="Times New Roman"/>
          <w:sz w:val="24"/>
          <w:szCs w:val="24"/>
          <w:lang w:eastAsia="ar-SA"/>
        </w:rPr>
      </w:pPr>
    </w:p>
    <w:p w:rsidR="00B61CB6" w:rsidRPr="00B61CB6" w:rsidRDefault="00B61CB6" w:rsidP="00B61CB6">
      <w:pPr>
        <w:spacing w:after="0" w:line="240" w:lineRule="auto"/>
        <w:ind w:firstLine="709"/>
        <w:contextualSpacing/>
        <w:jc w:val="both"/>
        <w:rPr>
          <w:rFonts w:ascii="Times New Roman" w:eastAsia="Calibri" w:hAnsi="Times New Roman" w:cs="Times New Roman"/>
          <w:sz w:val="24"/>
          <w:szCs w:val="24"/>
          <w:lang w:eastAsia="ar-SA"/>
        </w:rPr>
      </w:pPr>
      <w:r w:rsidRPr="00B61CB6">
        <w:rPr>
          <w:rFonts w:ascii="Times New Roman" w:eastAsia="Calibri" w:hAnsi="Times New Roman" w:cs="Times New Roman"/>
          <w:sz w:val="24"/>
          <w:szCs w:val="24"/>
          <w:lang w:eastAsia="ar-SA"/>
        </w:rPr>
        <w:t>По итогам деятельности АО «Чеченэнерго» за 2023 года выручка от реализации дополнительных (нетарифных) услуг составила 55 632 тыс. рублей, в том числе:</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ab/>
        <w:t xml:space="preserve">- </w:t>
      </w:r>
      <w:r w:rsidRPr="00B61CB6">
        <w:rPr>
          <w:rFonts w:ascii="Times New Roman" w:eastAsia="Calibri" w:hAnsi="Times New Roman" w:cs="Times New Roman"/>
          <w:sz w:val="24"/>
          <w:szCs w:val="24"/>
          <w:lang w:eastAsia="ar-SA"/>
        </w:rPr>
        <w:t>15 055 тыс. рублей - Доходы от сдачи имущества в аренду и услуг по размещению, выполнение плана в полном объеме;</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ab/>
        <w:t xml:space="preserve">- </w:t>
      </w:r>
      <w:r w:rsidRPr="00B61CB6">
        <w:rPr>
          <w:rFonts w:ascii="Times New Roman" w:eastAsia="Calibri" w:hAnsi="Times New Roman" w:cs="Times New Roman"/>
          <w:sz w:val="24"/>
          <w:szCs w:val="24"/>
          <w:lang w:eastAsia="ar-SA"/>
        </w:rPr>
        <w:t>189 тыс. рублей - Доходы от сдачи в аренду земли, выполнение плана в полном объеме.</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sidRPr="00B61CB6">
        <w:rPr>
          <w:rFonts w:ascii="Times New Roman" w:eastAsia="Calibri" w:hAnsi="Times New Roman" w:cs="Times New Roman"/>
          <w:sz w:val="24"/>
          <w:szCs w:val="24"/>
          <w:lang w:eastAsia="ar-SA"/>
        </w:rPr>
        <w:t xml:space="preserve">      -  37 174 тыс. рублей - Доходы от услуг по размещению оборудования на электросетевых объектах, что на 27 582 тыс. рублей или на 387,58% больше плана.      </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sidRPr="00B61CB6">
        <w:rPr>
          <w:rFonts w:ascii="Times New Roman" w:eastAsia="Calibri" w:hAnsi="Times New Roman" w:cs="Times New Roman"/>
          <w:sz w:val="24"/>
          <w:szCs w:val="24"/>
          <w:lang w:eastAsia="ar-SA"/>
        </w:rPr>
        <w:t xml:space="preserve">      Разница обусловлена увеличением показателя (заключение договоров) по аренде размещения (ВОЛС-ВЛ). Также АО «Чеченэнерго» и АО «ВайнахТелеком» заключили договор по размещению волоконно-оптической линии связи на воздушных линиях электропередачи и других объектах электросетевого хозяйства в 2023 году на сумму 2,5 млн. рублей;</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ab/>
        <w:t xml:space="preserve">- </w:t>
      </w:r>
      <w:r w:rsidRPr="00B61CB6">
        <w:rPr>
          <w:rFonts w:ascii="Times New Roman" w:eastAsia="Calibri" w:hAnsi="Times New Roman" w:cs="Times New Roman"/>
          <w:sz w:val="24"/>
          <w:szCs w:val="24"/>
          <w:lang w:eastAsia="ar-SA"/>
        </w:rPr>
        <w:t>7 тыс. рублей - Доходы от консультационных и организационно-технических услуг, что на 124 тыс. рублей или на 95,38% меньше плана. Снижение обусловлено меньшим количеством оказанных услуг по восстановлению и переоформлению документов по ТП;</w:t>
      </w:r>
    </w:p>
    <w:p w:rsidR="00B61CB6" w:rsidRPr="00B61CB6" w:rsidRDefault="00B61CB6" w:rsidP="00B61CB6">
      <w:pPr>
        <w:spacing w:after="0" w:line="240" w:lineRule="auto"/>
        <w:contextualSpacing/>
        <w:jc w:val="both"/>
        <w:rPr>
          <w:rFonts w:ascii="Times New Roman" w:eastAsia="Calibri" w:hAnsi="Times New Roman" w:cs="Times New Roman"/>
          <w:sz w:val="24"/>
          <w:szCs w:val="24"/>
          <w:lang w:eastAsia="ar-SA"/>
        </w:rPr>
      </w:pPr>
      <w:r>
        <w:rPr>
          <w:rFonts w:ascii="Times New Roman" w:eastAsia="Calibri" w:hAnsi="Times New Roman" w:cs="Times New Roman"/>
          <w:sz w:val="24"/>
          <w:szCs w:val="24"/>
          <w:lang w:eastAsia="ar-SA"/>
        </w:rPr>
        <w:tab/>
        <w:t xml:space="preserve">- </w:t>
      </w:r>
      <w:r w:rsidRPr="00B61CB6">
        <w:rPr>
          <w:rFonts w:ascii="Times New Roman" w:eastAsia="Calibri" w:hAnsi="Times New Roman" w:cs="Times New Roman"/>
          <w:sz w:val="24"/>
          <w:szCs w:val="24"/>
          <w:lang w:eastAsia="ar-SA"/>
        </w:rPr>
        <w:t>3 207 тыс. рублей - Доходы от других услуг по прочей операционной деятельности, что на 17 095 тыс. рублей или на 81,26% меньше плана.</w:t>
      </w:r>
    </w:p>
    <w:p w:rsidR="00B61CB6" w:rsidRPr="00B61CB6" w:rsidRDefault="00B61CB6" w:rsidP="00B61CB6">
      <w:pPr>
        <w:tabs>
          <w:tab w:val="left" w:pos="709"/>
          <w:tab w:val="left" w:pos="993"/>
        </w:tabs>
        <w:spacing w:after="0" w:line="240" w:lineRule="auto"/>
        <w:contextualSpacing/>
        <w:jc w:val="both"/>
        <w:rPr>
          <w:rFonts w:ascii="Times New Roman" w:eastAsia="Calibri" w:hAnsi="Times New Roman" w:cs="Times New Roman"/>
          <w:sz w:val="24"/>
          <w:szCs w:val="24"/>
          <w:lang w:eastAsia="ar-SA"/>
        </w:rPr>
      </w:pPr>
    </w:p>
    <w:p w:rsidR="00827F97" w:rsidRPr="00B61CB6" w:rsidRDefault="00B61CB6" w:rsidP="00B61CB6">
      <w:pPr>
        <w:tabs>
          <w:tab w:val="left" w:pos="709"/>
          <w:tab w:val="left" w:pos="993"/>
        </w:tabs>
        <w:spacing w:after="0" w:line="240" w:lineRule="auto"/>
        <w:ind w:firstLine="709"/>
        <w:contextualSpacing/>
        <w:jc w:val="both"/>
        <w:rPr>
          <w:rFonts w:ascii="Times New Roman" w:eastAsia="Calibri" w:hAnsi="Times New Roman" w:cs="Times New Roman"/>
          <w:sz w:val="24"/>
          <w:szCs w:val="24"/>
          <w:lang w:eastAsia="ar-SA"/>
        </w:rPr>
      </w:pPr>
      <w:r w:rsidRPr="00B61CB6">
        <w:rPr>
          <w:rFonts w:ascii="Times New Roman" w:eastAsia="Calibri" w:hAnsi="Times New Roman" w:cs="Times New Roman"/>
          <w:sz w:val="24"/>
          <w:szCs w:val="24"/>
          <w:lang w:eastAsia="ar-SA"/>
        </w:rPr>
        <w:t>Согласно единому перечню дополнительных (нетарифных) услуг ПАО «Россети Северный Кавказ»:</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1134"/>
        <w:gridCol w:w="1134"/>
        <w:gridCol w:w="1134"/>
        <w:gridCol w:w="1134"/>
        <w:gridCol w:w="1810"/>
      </w:tblGrid>
      <w:tr w:rsidR="00B61CB6" w:rsidTr="00557DA9">
        <w:trPr>
          <w:cantSplit/>
          <w:trHeight w:val="311"/>
          <w:tblHeader/>
        </w:trPr>
        <w:tc>
          <w:tcPr>
            <w:tcW w:w="3539" w:type="dxa"/>
            <w:vMerge w:val="restart"/>
            <w:vAlign w:val="center"/>
          </w:tcPr>
          <w:p w:rsidR="00B61CB6" w:rsidRDefault="00B61CB6" w:rsidP="00557DA9">
            <w:pPr>
              <w:widowControl w:val="0"/>
              <w:spacing w:after="0" w:line="240" w:lineRule="auto"/>
              <w:jc w:val="center"/>
              <w:rPr>
                <w:rFonts w:ascii="Times New Roman" w:eastAsia="Times New Roman" w:hAnsi="Times New Roman" w:cs="Times New Roman"/>
                <w:b/>
                <w:bCs/>
                <w:color w:val="000000"/>
                <w:sz w:val="20"/>
                <w:szCs w:val="20"/>
                <w:lang w:eastAsia="ar-SA"/>
              </w:rPr>
            </w:pPr>
            <w:bookmarkStart w:id="21" w:name="OLE_LINK1"/>
            <w:r>
              <w:rPr>
                <w:rFonts w:ascii="Times New Roman" w:eastAsia="Times New Roman" w:hAnsi="Times New Roman" w:cs="Times New Roman"/>
                <w:b/>
                <w:bCs/>
                <w:color w:val="000000"/>
                <w:sz w:val="20"/>
                <w:szCs w:val="20"/>
                <w:lang w:eastAsia="ar-SA"/>
              </w:rPr>
              <w:t>Показатель</w:t>
            </w:r>
          </w:p>
        </w:tc>
        <w:tc>
          <w:tcPr>
            <w:tcW w:w="1134" w:type="dxa"/>
            <w:vMerge w:val="restart"/>
            <w:vAlign w:val="center"/>
          </w:tcPr>
          <w:p w:rsidR="00B61CB6" w:rsidRDefault="00B61CB6" w:rsidP="00557DA9">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Ед. изм.</w:t>
            </w:r>
          </w:p>
        </w:tc>
        <w:tc>
          <w:tcPr>
            <w:tcW w:w="5212" w:type="dxa"/>
            <w:gridSpan w:val="4"/>
            <w:vAlign w:val="center"/>
          </w:tcPr>
          <w:p w:rsidR="00B61CB6" w:rsidRDefault="00B61CB6" w:rsidP="00557DA9">
            <w:pPr>
              <w:widowControl w:val="0"/>
              <w:spacing w:after="0" w:line="240" w:lineRule="auto"/>
              <w:jc w:val="center"/>
              <w:rPr>
                <w:rFonts w:ascii="Times New Roman" w:eastAsia="Times New Roman" w:hAnsi="Times New Roman" w:cs="Times New Roman"/>
                <w:b/>
                <w:bCs/>
                <w:color w:val="000000"/>
                <w:sz w:val="20"/>
                <w:szCs w:val="20"/>
                <w:highlight w:val="yellow"/>
                <w:lang w:eastAsia="ar-SA"/>
              </w:rPr>
            </w:pPr>
            <w:r>
              <w:rPr>
                <w:rFonts w:ascii="Times New Roman" w:eastAsia="Times New Roman" w:hAnsi="Times New Roman" w:cs="Times New Roman"/>
                <w:b/>
                <w:bCs/>
                <w:color w:val="000000"/>
                <w:sz w:val="20"/>
                <w:szCs w:val="20"/>
                <w:lang w:eastAsia="ar-SA"/>
              </w:rPr>
              <w:t>Период</w:t>
            </w:r>
          </w:p>
        </w:tc>
      </w:tr>
      <w:tr w:rsidR="00B61CB6" w:rsidTr="00557DA9">
        <w:trPr>
          <w:cantSplit/>
          <w:tblHeader/>
        </w:trPr>
        <w:tc>
          <w:tcPr>
            <w:tcW w:w="3539" w:type="dxa"/>
            <w:vMerge/>
            <w:vAlign w:val="center"/>
          </w:tcPr>
          <w:p w:rsidR="00B61CB6" w:rsidRDefault="00B61CB6" w:rsidP="00557DA9">
            <w:pPr>
              <w:spacing w:after="0" w:line="240" w:lineRule="auto"/>
              <w:rPr>
                <w:rFonts w:ascii="Times New Roman" w:eastAsia="Times New Roman" w:hAnsi="Times New Roman" w:cs="Times New Roman"/>
                <w:b/>
                <w:bCs/>
                <w:color w:val="000000"/>
                <w:sz w:val="20"/>
                <w:szCs w:val="20"/>
                <w:lang w:eastAsia="ar-SA"/>
              </w:rPr>
            </w:pPr>
          </w:p>
        </w:tc>
        <w:tc>
          <w:tcPr>
            <w:tcW w:w="1134" w:type="dxa"/>
            <w:vMerge/>
            <w:vAlign w:val="center"/>
          </w:tcPr>
          <w:p w:rsidR="00B61CB6" w:rsidRDefault="00B61CB6" w:rsidP="00557DA9">
            <w:pPr>
              <w:spacing w:after="0" w:line="240" w:lineRule="auto"/>
              <w:rPr>
                <w:rFonts w:ascii="Times New Roman" w:eastAsia="Times New Roman" w:hAnsi="Times New Roman" w:cs="Times New Roman"/>
                <w:b/>
                <w:bCs/>
                <w:color w:val="000000"/>
                <w:sz w:val="20"/>
                <w:szCs w:val="20"/>
                <w:lang w:eastAsia="ar-SA"/>
              </w:rPr>
            </w:pPr>
          </w:p>
        </w:tc>
        <w:tc>
          <w:tcPr>
            <w:tcW w:w="1134" w:type="dxa"/>
            <w:vAlign w:val="center"/>
          </w:tcPr>
          <w:p w:rsidR="00B61CB6" w:rsidRDefault="00B61CB6" w:rsidP="00557DA9">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2021 год факт</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2022 год факт</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
                <w:bCs/>
                <w:color w:val="000000"/>
                <w:sz w:val="20"/>
                <w:szCs w:val="20"/>
                <w:highlight w:val="yellow"/>
                <w:lang w:eastAsia="ar-SA"/>
              </w:rPr>
            </w:pPr>
            <w:r>
              <w:rPr>
                <w:rFonts w:ascii="Times New Roman" w:eastAsia="Times New Roman" w:hAnsi="Times New Roman" w:cs="Times New Roman"/>
                <w:b/>
                <w:bCs/>
                <w:color w:val="000000"/>
                <w:sz w:val="20"/>
                <w:szCs w:val="20"/>
                <w:lang w:eastAsia="ar-SA"/>
              </w:rPr>
              <w:t>2023 год факт</w:t>
            </w:r>
          </w:p>
        </w:tc>
        <w:tc>
          <w:tcPr>
            <w:tcW w:w="1810" w:type="dxa"/>
            <w:vAlign w:val="center"/>
          </w:tcPr>
          <w:p w:rsidR="00B61CB6" w:rsidRDefault="00B61CB6" w:rsidP="00557DA9">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Изменение</w:t>
            </w:r>
          </w:p>
          <w:p w:rsidR="00B61CB6" w:rsidRDefault="00B61CB6" w:rsidP="00557DA9">
            <w:pPr>
              <w:widowControl w:val="0"/>
              <w:spacing w:after="0" w:line="240" w:lineRule="auto"/>
              <w:jc w:val="center"/>
              <w:rPr>
                <w:rFonts w:ascii="Times New Roman" w:eastAsia="Times New Roman" w:hAnsi="Times New Roman" w:cs="Times New Roman"/>
                <w:b/>
                <w:bCs/>
                <w:color w:val="000000"/>
                <w:sz w:val="20"/>
                <w:szCs w:val="20"/>
                <w:lang w:eastAsia="ar-SA"/>
              </w:rPr>
            </w:pPr>
            <w:r>
              <w:rPr>
                <w:rFonts w:ascii="Times New Roman" w:eastAsia="Times New Roman" w:hAnsi="Times New Roman" w:cs="Times New Roman"/>
                <w:b/>
                <w:bCs/>
                <w:color w:val="000000"/>
                <w:sz w:val="20"/>
                <w:szCs w:val="20"/>
                <w:lang w:eastAsia="ar-SA"/>
              </w:rPr>
              <w:t>2023/2022, %</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Выручка от реализации дополнительных (нетарифных) услуг прочей деятельности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spacing w:after="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40,185</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spacing w:after="0"/>
              <w:jc w:val="center"/>
              <w:rPr>
                <w:rFonts w:ascii="Times New Roman" w:eastAsia="Times New Roman" w:hAnsi="Times New Roman" w:cs="Times New Roman"/>
                <w:b/>
                <w:sz w:val="20"/>
                <w:szCs w:val="20"/>
              </w:rPr>
            </w:pPr>
            <w:r>
              <w:rPr>
                <w:rFonts w:ascii="Times New Roman" w:eastAsia="Times New Roman" w:hAnsi="Times New Roman" w:cs="Times New Roman"/>
                <w:b/>
                <w:sz w:val="20"/>
                <w:szCs w:val="20"/>
              </w:rPr>
              <w:t>25,804</w:t>
            </w:r>
          </w:p>
        </w:tc>
        <w:tc>
          <w:tcPr>
            <w:tcW w:w="1134" w:type="dxa"/>
            <w:shd w:val="clear" w:color="auto" w:fill="auto"/>
            <w:vAlign w:val="center"/>
          </w:tcPr>
          <w:p w:rsidR="00B61CB6" w:rsidRPr="00B61CB6" w:rsidRDefault="00B61CB6" w:rsidP="00557DA9">
            <w:pPr>
              <w:spacing w:after="0" w:line="240" w:lineRule="auto"/>
              <w:jc w:val="center"/>
              <w:rPr>
                <w:rFonts w:ascii="Times New Roman" w:eastAsia="Times New Roman" w:hAnsi="Times New Roman" w:cs="Times New Roman"/>
                <w:b/>
                <w:sz w:val="20"/>
                <w:szCs w:val="20"/>
                <w:lang w:eastAsia="ar-SA"/>
              </w:rPr>
            </w:pPr>
            <w:r w:rsidRPr="00B61CB6">
              <w:rPr>
                <w:rFonts w:ascii="Times New Roman" w:eastAsia="Times New Roman" w:hAnsi="Times New Roman" w:cs="Times New Roman"/>
                <w:b/>
                <w:sz w:val="20"/>
                <w:szCs w:val="20"/>
                <w:lang w:eastAsia="ar-SA"/>
              </w:rPr>
              <w:t>55,632</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ar-SA"/>
              </w:rPr>
              <w:t>115,58</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Аренда и услуги по размещению</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38,495</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24,794</w:t>
            </w:r>
          </w:p>
        </w:tc>
        <w:tc>
          <w:tcPr>
            <w:tcW w:w="1134" w:type="dxa"/>
            <w:shd w:val="clear" w:color="auto" w:fill="auto"/>
            <w:vAlign w:val="center"/>
          </w:tcPr>
          <w:p w:rsidR="00B61CB6" w:rsidRPr="00B61CB6" w:rsidRDefault="00B61CB6" w:rsidP="00557DA9">
            <w:pPr>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52,418</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Calibri" w:hAnsi="Times New Roman" w:cs="Times New Roman"/>
                <w:sz w:val="20"/>
                <w:szCs w:val="20"/>
              </w:rPr>
              <w:t>111,41</w:t>
            </w:r>
          </w:p>
        </w:tc>
      </w:tr>
      <w:tr w:rsidR="00B61CB6" w:rsidTr="00557DA9">
        <w:trPr>
          <w:cantSplit/>
          <w:trHeight w:val="276"/>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Услуги по техническому и ремонтно-эксплуатационному обслуживанию</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0,00</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Times New Roman" w:hAnsi="Times New Roman" w:cs="Times New Roman"/>
                <w:color w:val="000000"/>
                <w:sz w:val="20"/>
                <w:szCs w:val="20"/>
                <w:lang w:eastAsia="ar-SA"/>
              </w:rPr>
              <w:t>0</w:t>
            </w:r>
          </w:p>
        </w:tc>
      </w:tr>
      <w:tr w:rsidR="00B61CB6" w:rsidTr="00557DA9">
        <w:trPr>
          <w:cantSplit/>
          <w:trHeight w:val="581"/>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Выполнение строительно-монтажных работ</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0,00</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Times New Roman" w:hAnsi="Times New Roman" w:cs="Times New Roman"/>
                <w:color w:val="000000"/>
                <w:sz w:val="20"/>
                <w:szCs w:val="20"/>
                <w:lang w:eastAsia="ar-SA"/>
              </w:rPr>
              <w:t>0</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Консультационные и организационно-технические услуги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0,130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0,006</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0,007</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Times New Roman" w:hAnsi="Times New Roman" w:cs="Times New Roman"/>
                <w:color w:val="000000"/>
                <w:sz w:val="20"/>
                <w:szCs w:val="20"/>
                <w:lang w:eastAsia="ar-SA"/>
              </w:rPr>
              <w:t>16,66</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Агентские услуги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Times New Roman" w:hAnsi="Times New Roman" w:cs="Times New Roman"/>
                <w:color w:val="000000"/>
                <w:sz w:val="20"/>
                <w:szCs w:val="20"/>
                <w:lang w:eastAsia="ar-SA"/>
              </w:rPr>
              <w:t>0</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Услуги связи и информационных технологий</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Calibri" w:hAnsi="Times New Roman" w:cs="Times New Roman"/>
                <w:sz w:val="20"/>
                <w:szCs w:val="20"/>
              </w:rPr>
              <w:t>0</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Другие услуги прочей деятельности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1,560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1,004</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3,207</w:t>
            </w:r>
          </w:p>
        </w:tc>
        <w:tc>
          <w:tcPr>
            <w:tcW w:w="1810" w:type="dxa"/>
            <w:shd w:val="clear" w:color="auto" w:fill="auto"/>
            <w:vAlign w:val="center"/>
          </w:tcPr>
          <w:p w:rsidR="00B61CB6" w:rsidRDefault="00B61CB6" w:rsidP="00557DA9">
            <w:pPr>
              <w:spacing w:after="0" w:line="240" w:lineRule="auto"/>
              <w:jc w:val="center"/>
              <w:rPr>
                <w:rFonts w:ascii="Times New Roman" w:eastAsia="Times New Roman" w:hAnsi="Times New Roman" w:cs="Times New Roman"/>
                <w:color w:val="000000"/>
                <w:sz w:val="20"/>
                <w:szCs w:val="20"/>
                <w:lang w:eastAsia="ar-SA"/>
              </w:rPr>
            </w:pPr>
            <w:r>
              <w:rPr>
                <w:rFonts w:ascii="Times New Roman" w:eastAsia="Calibri" w:hAnsi="Times New Roman" w:cs="Times New Roman"/>
                <w:sz w:val="20"/>
                <w:szCs w:val="20"/>
              </w:rPr>
              <w:t>219,22</w:t>
            </w: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Другие прочие услуги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млн руб.</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1134" w:type="dxa"/>
            <w:shd w:val="clear" w:color="auto" w:fill="auto"/>
            <w:vAlign w:val="center"/>
          </w:tcPr>
          <w:p w:rsidR="00B61CB6" w:rsidRPr="00B61CB6" w:rsidRDefault="00B61CB6" w:rsidP="00557DA9">
            <w:pPr>
              <w:widowControl w:val="0"/>
              <w:spacing w:after="0" w:line="240" w:lineRule="auto"/>
              <w:jc w:val="center"/>
              <w:rPr>
                <w:rFonts w:ascii="Times New Roman" w:eastAsia="Times New Roman" w:hAnsi="Times New Roman" w:cs="Times New Roman"/>
                <w:sz w:val="20"/>
                <w:szCs w:val="20"/>
                <w:lang w:eastAsia="ar-SA"/>
              </w:rPr>
            </w:pPr>
            <w:r w:rsidRPr="00B61CB6">
              <w:rPr>
                <w:rFonts w:ascii="Times New Roman" w:eastAsia="Times New Roman" w:hAnsi="Times New Roman" w:cs="Times New Roman"/>
                <w:sz w:val="20"/>
                <w:szCs w:val="20"/>
                <w:lang w:eastAsia="ar-SA"/>
              </w:rPr>
              <w:t>0</w:t>
            </w:r>
          </w:p>
        </w:tc>
        <w:tc>
          <w:tcPr>
            <w:tcW w:w="1810" w:type="dxa"/>
            <w:shd w:val="clear" w:color="auto" w:fill="auto"/>
            <w:vAlign w:val="center"/>
          </w:tcPr>
          <w:p w:rsidR="00B61CB6" w:rsidRDefault="00B61CB6" w:rsidP="00557DA9">
            <w:pPr>
              <w:spacing w:after="0" w:line="240" w:lineRule="auto"/>
              <w:jc w:val="center"/>
              <w:rPr>
                <w:rFonts w:ascii="Times New Roman" w:eastAsia="Calibri" w:hAnsi="Times New Roman" w:cs="Times New Roman"/>
                <w:sz w:val="20"/>
                <w:szCs w:val="20"/>
                <w:highlight w:val="yellow"/>
              </w:rPr>
            </w:pPr>
          </w:p>
        </w:tc>
      </w:tr>
      <w:tr w:rsidR="00B61CB6" w:rsidTr="00557DA9">
        <w:trPr>
          <w:cantSplit/>
        </w:trPr>
        <w:tc>
          <w:tcPr>
            <w:tcW w:w="3539" w:type="dxa"/>
            <w:vAlign w:val="center"/>
          </w:tcPr>
          <w:p w:rsidR="00B61CB6" w:rsidRDefault="00B61CB6" w:rsidP="00557DA9">
            <w:pPr>
              <w:widowControl w:val="0"/>
              <w:spacing w:after="0" w:line="240" w:lineRule="auto"/>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Объем нетарифной выручки от прочих видов деятельности</w:t>
            </w:r>
          </w:p>
        </w:tc>
        <w:tc>
          <w:tcPr>
            <w:tcW w:w="1134" w:type="dxa"/>
            <w:vAlign w:val="center"/>
          </w:tcPr>
          <w:p w:rsidR="00B61CB6" w:rsidRDefault="00B61CB6" w:rsidP="00557DA9">
            <w:pPr>
              <w:widowControl w:val="0"/>
              <w:spacing w:after="0" w:line="240" w:lineRule="auto"/>
              <w:jc w:val="center"/>
              <w:rPr>
                <w:rFonts w:ascii="Times New Roman" w:eastAsia="Times New Roman" w:hAnsi="Times New Roman" w:cs="Times New Roman"/>
                <w:bCs/>
                <w:color w:val="000000"/>
                <w:sz w:val="20"/>
                <w:szCs w:val="20"/>
                <w:lang w:eastAsia="ar-SA"/>
              </w:rPr>
            </w:pPr>
            <w:r>
              <w:rPr>
                <w:rFonts w:ascii="Times New Roman" w:eastAsia="Times New Roman" w:hAnsi="Times New Roman" w:cs="Times New Roman"/>
                <w:bCs/>
                <w:color w:val="000000"/>
                <w:sz w:val="20"/>
                <w:szCs w:val="20"/>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2,6</w:t>
            </w:r>
          </w:p>
        </w:tc>
        <w:tc>
          <w:tcPr>
            <w:tcW w:w="1134" w:type="dxa"/>
            <w:tcBorders>
              <w:top w:val="single" w:sz="4" w:space="0" w:color="auto"/>
              <w:left w:val="single" w:sz="4" w:space="0" w:color="auto"/>
              <w:bottom w:val="single" w:sz="4" w:space="0" w:color="auto"/>
              <w:right w:val="single" w:sz="4" w:space="0" w:color="auto"/>
            </w:tcBorders>
            <w:vAlign w:val="center"/>
          </w:tcPr>
          <w:p w:rsidR="00B61CB6" w:rsidRDefault="00B61CB6" w:rsidP="00557DA9">
            <w:pPr>
              <w:widowControl w:val="0"/>
              <w:spacing w:after="0"/>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w:t>
            </w:r>
          </w:p>
        </w:tc>
        <w:tc>
          <w:tcPr>
            <w:tcW w:w="1134" w:type="dxa"/>
            <w:shd w:val="clear" w:color="auto" w:fill="auto"/>
            <w:vAlign w:val="center"/>
          </w:tcPr>
          <w:p w:rsidR="00B61CB6" w:rsidRDefault="00B61CB6" w:rsidP="00557DA9">
            <w:pPr>
              <w:widowControl w:val="0"/>
              <w:spacing w:after="0" w:line="240" w:lineRule="auto"/>
              <w:jc w:val="center"/>
              <w:rPr>
                <w:rFonts w:ascii="Times New Roman" w:eastAsia="Times New Roman" w:hAnsi="Times New Roman" w:cs="Times New Roman"/>
                <w:sz w:val="20"/>
                <w:szCs w:val="20"/>
                <w:highlight w:val="yellow"/>
                <w:lang w:eastAsia="ar-SA"/>
              </w:rPr>
            </w:pPr>
            <w:r>
              <w:rPr>
                <w:rFonts w:ascii="Times New Roman" w:eastAsia="Times New Roman" w:hAnsi="Times New Roman" w:cs="Times New Roman"/>
                <w:sz w:val="20"/>
                <w:szCs w:val="20"/>
                <w:lang w:val="en-US" w:eastAsia="ar-SA"/>
              </w:rPr>
              <w:t>3,9</w:t>
            </w:r>
          </w:p>
        </w:tc>
        <w:bookmarkEnd w:id="21"/>
        <w:tc>
          <w:tcPr>
            <w:tcW w:w="1810" w:type="dxa"/>
            <w:shd w:val="clear" w:color="auto" w:fill="auto"/>
            <w:vAlign w:val="center"/>
          </w:tcPr>
          <w:p w:rsidR="00B61CB6" w:rsidRDefault="00B61CB6" w:rsidP="00557DA9">
            <w:pPr>
              <w:spacing w:after="0" w:line="240" w:lineRule="auto"/>
              <w:jc w:val="center"/>
              <w:rPr>
                <w:rFonts w:ascii="Times New Roman" w:eastAsia="Calibri" w:hAnsi="Times New Roman" w:cs="Times New Roman"/>
                <w:sz w:val="20"/>
                <w:szCs w:val="20"/>
                <w:highlight w:val="yellow"/>
              </w:rPr>
            </w:pPr>
            <w:r>
              <w:rPr>
                <w:rFonts w:ascii="Times New Roman" w:eastAsia="Calibri" w:hAnsi="Times New Roman" w:cs="Times New Roman"/>
                <w:sz w:val="20"/>
                <w:szCs w:val="20"/>
              </w:rPr>
              <w:t>116,66</w:t>
            </w:r>
          </w:p>
        </w:tc>
      </w:tr>
    </w:tbl>
    <w:p w:rsidR="00827F97" w:rsidRPr="00B369F9" w:rsidRDefault="00827F97" w:rsidP="00E9231C">
      <w:pPr>
        <w:spacing w:after="0" w:line="240" w:lineRule="auto"/>
        <w:ind w:firstLine="567"/>
        <w:jc w:val="both"/>
        <w:rPr>
          <w:rFonts w:ascii="Times New Roman" w:hAnsi="Times New Roman" w:cs="Times New Roman"/>
          <w:sz w:val="24"/>
          <w:szCs w:val="24"/>
        </w:rPr>
      </w:pPr>
    </w:p>
    <w:p w:rsidR="00B61CB6" w:rsidRPr="00B61CB6" w:rsidRDefault="00B61CB6" w:rsidP="00B61CB6">
      <w:pPr>
        <w:spacing w:after="160" w:line="259" w:lineRule="auto"/>
        <w:ind w:firstLine="567"/>
        <w:jc w:val="both"/>
        <w:rPr>
          <w:rFonts w:ascii="Times New Roman" w:eastAsia="Times New Roman" w:hAnsi="Times New Roman" w:cs="Times New Roman"/>
          <w:sz w:val="24"/>
          <w:szCs w:val="24"/>
          <w:lang w:eastAsia="ar-SA"/>
        </w:rPr>
      </w:pPr>
      <w:r w:rsidRPr="00B61CB6">
        <w:rPr>
          <w:rFonts w:ascii="Times New Roman" w:eastAsia="Times New Roman" w:hAnsi="Times New Roman" w:cs="Times New Roman"/>
          <w:sz w:val="24"/>
          <w:szCs w:val="24"/>
          <w:lang w:eastAsia="ar-SA"/>
        </w:rPr>
        <w:lastRenderedPageBreak/>
        <w:t>Отдел дополнительных (нетарифных) услуг развивает направление клиентской деятельности в сфере обслуживания потребителей и предлагает перечень дополнительных услуг ПАО «Россети Северный Кавказ» в рамках обслуживания электросетевого хозяйства.</w:t>
      </w:r>
    </w:p>
    <w:p w:rsidR="00827F97" w:rsidRPr="00B369F9" w:rsidRDefault="00B61CB6" w:rsidP="00827F97">
      <w:pPr>
        <w:rPr>
          <w:sz w:val="24"/>
          <w:szCs w:val="24"/>
        </w:rPr>
      </w:pPr>
      <w:r>
        <w:rPr>
          <w:noProof/>
          <w:lang w:eastAsia="ru-RU"/>
        </w:rPr>
        <w:drawing>
          <wp:inline distT="0" distB="0" distL="0" distR="0" wp14:anchorId="4B338675" wp14:editId="12BA22C7">
            <wp:extent cx="5486400" cy="21812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61CB6" w:rsidRPr="00B61CB6" w:rsidRDefault="00B61CB6" w:rsidP="00B61CB6">
      <w:pPr>
        <w:spacing w:after="0" w:line="240" w:lineRule="auto"/>
        <w:ind w:firstLine="709"/>
        <w:jc w:val="both"/>
        <w:rPr>
          <w:rFonts w:ascii="Times New Roman" w:eastAsia="Times New Roman" w:hAnsi="Times New Roman" w:cs="Times New Roman"/>
          <w:sz w:val="24"/>
          <w:szCs w:val="24"/>
          <w:lang w:eastAsia="ar-SA"/>
        </w:rPr>
      </w:pPr>
      <w:r w:rsidRPr="00B61CB6">
        <w:rPr>
          <w:rFonts w:ascii="Times New Roman" w:eastAsia="Times New Roman" w:hAnsi="Times New Roman" w:cs="Times New Roman"/>
          <w:sz w:val="24"/>
          <w:szCs w:val="24"/>
          <w:lang w:eastAsia="ar-SA"/>
        </w:rPr>
        <w:t>Плановыми показателями на 2024 г. запланирована выручка по оказанию дополнительных (нетарифных) услуг в объеме 77,475 млн руб.</w:t>
      </w:r>
    </w:p>
    <w:p w:rsidR="00827F97" w:rsidRPr="00B369F9" w:rsidRDefault="00B61CB6" w:rsidP="00B61CB6">
      <w:pPr>
        <w:spacing w:after="0" w:line="240" w:lineRule="auto"/>
        <w:ind w:firstLine="709"/>
        <w:jc w:val="both"/>
        <w:rPr>
          <w:rFonts w:ascii="Times New Roman" w:eastAsia="Times New Roman" w:hAnsi="Times New Roman" w:cs="Times New Roman"/>
          <w:sz w:val="24"/>
          <w:szCs w:val="24"/>
          <w:lang w:eastAsia="ar-SA"/>
        </w:rPr>
      </w:pPr>
      <w:r w:rsidRPr="00B61CB6">
        <w:rPr>
          <w:rFonts w:ascii="Times New Roman" w:eastAsia="Times New Roman" w:hAnsi="Times New Roman" w:cs="Times New Roman"/>
          <w:sz w:val="24"/>
          <w:szCs w:val="24"/>
          <w:lang w:eastAsia="ar-SA"/>
        </w:rPr>
        <w:t>На 2024 год запланировано развитие спектра оказываемых услуг, согласно прейскуранта стоимости дополнительных (нетарифных) услуг.</w:t>
      </w:r>
    </w:p>
    <w:p w:rsidR="009E4824" w:rsidRDefault="009E4824" w:rsidP="009E4824">
      <w:pPr>
        <w:spacing w:after="0" w:line="240" w:lineRule="auto"/>
        <w:jc w:val="both"/>
        <w:rPr>
          <w:rFonts w:ascii="Times New Roman" w:eastAsia="Times New Roman" w:hAnsi="Times New Roman" w:cs="Times New Roman"/>
          <w:sz w:val="24"/>
          <w:szCs w:val="24"/>
          <w:lang w:eastAsia="ar-SA"/>
        </w:rPr>
      </w:pPr>
    </w:p>
    <w:p w:rsidR="009E4824" w:rsidRPr="009E4824" w:rsidRDefault="009E4824" w:rsidP="009E4824">
      <w:pPr>
        <w:spacing w:after="0" w:line="240" w:lineRule="auto"/>
        <w:jc w:val="center"/>
        <w:rPr>
          <w:rFonts w:ascii="Times New Roman" w:eastAsia="Times New Roman" w:hAnsi="Times New Roman" w:cs="Times New Roman"/>
          <w:b/>
          <w:sz w:val="24"/>
          <w:szCs w:val="24"/>
          <w:lang w:eastAsia="ar-SA"/>
        </w:rPr>
      </w:pPr>
      <w:r w:rsidRPr="009E4824">
        <w:rPr>
          <w:rFonts w:ascii="Times New Roman" w:eastAsia="Times New Roman" w:hAnsi="Times New Roman" w:cs="Times New Roman"/>
          <w:b/>
          <w:sz w:val="24"/>
          <w:szCs w:val="24"/>
          <w:lang w:eastAsia="ar-SA"/>
        </w:rPr>
        <w:t>Заключенные договоры</w:t>
      </w:r>
      <w:r w:rsidRPr="009E4824">
        <w:t xml:space="preserve"> </w:t>
      </w:r>
      <w:r>
        <w:t xml:space="preserve">на </w:t>
      </w:r>
      <w:r w:rsidRPr="009E4824">
        <w:rPr>
          <w:rFonts w:ascii="Times New Roman" w:eastAsia="Times New Roman" w:hAnsi="Times New Roman" w:cs="Times New Roman"/>
          <w:b/>
          <w:sz w:val="24"/>
          <w:szCs w:val="24"/>
          <w:lang w:eastAsia="ar-SA"/>
        </w:rPr>
        <w:t>дополнительны</w:t>
      </w:r>
      <w:r>
        <w:rPr>
          <w:rFonts w:ascii="Times New Roman" w:eastAsia="Times New Roman" w:hAnsi="Times New Roman" w:cs="Times New Roman"/>
          <w:b/>
          <w:sz w:val="24"/>
          <w:szCs w:val="24"/>
          <w:lang w:eastAsia="ar-SA"/>
        </w:rPr>
        <w:t>е</w:t>
      </w:r>
      <w:r w:rsidRPr="009E4824">
        <w:rPr>
          <w:rFonts w:ascii="Times New Roman" w:eastAsia="Times New Roman" w:hAnsi="Times New Roman" w:cs="Times New Roman"/>
          <w:b/>
          <w:sz w:val="24"/>
          <w:szCs w:val="24"/>
          <w:lang w:eastAsia="ar-SA"/>
        </w:rPr>
        <w:t xml:space="preserve"> (нетарифны</w:t>
      </w:r>
      <w:r>
        <w:rPr>
          <w:rFonts w:ascii="Times New Roman" w:eastAsia="Times New Roman" w:hAnsi="Times New Roman" w:cs="Times New Roman"/>
          <w:b/>
          <w:sz w:val="24"/>
          <w:szCs w:val="24"/>
          <w:lang w:eastAsia="ar-SA"/>
        </w:rPr>
        <w:t>е</w:t>
      </w:r>
      <w:r w:rsidRPr="009E4824">
        <w:rPr>
          <w:rFonts w:ascii="Times New Roman" w:eastAsia="Times New Roman" w:hAnsi="Times New Roman" w:cs="Times New Roman"/>
          <w:b/>
          <w:sz w:val="24"/>
          <w:szCs w:val="24"/>
          <w:lang w:eastAsia="ar-SA"/>
        </w:rPr>
        <w:t>) услуг</w:t>
      </w:r>
      <w:r>
        <w:rPr>
          <w:rFonts w:ascii="Times New Roman" w:eastAsia="Times New Roman" w:hAnsi="Times New Roman" w:cs="Times New Roman"/>
          <w:b/>
          <w:sz w:val="24"/>
          <w:szCs w:val="24"/>
          <w:lang w:eastAsia="ar-SA"/>
        </w:rPr>
        <w:t>и</w:t>
      </w:r>
    </w:p>
    <w:tbl>
      <w:tblPr>
        <w:tblStyle w:val="af3"/>
        <w:tblW w:w="9351" w:type="dxa"/>
        <w:tblLook w:val="04A0" w:firstRow="1" w:lastRow="0" w:firstColumn="1" w:lastColumn="0" w:noHBand="0" w:noVBand="1"/>
      </w:tblPr>
      <w:tblGrid>
        <w:gridCol w:w="421"/>
        <w:gridCol w:w="2268"/>
        <w:gridCol w:w="1842"/>
        <w:gridCol w:w="4820"/>
      </w:tblGrid>
      <w:tr w:rsidR="00827F97" w:rsidRPr="00B7225B" w:rsidTr="00195D14">
        <w:tc>
          <w:tcPr>
            <w:tcW w:w="421" w:type="dxa"/>
            <w:vAlign w:val="center"/>
          </w:tcPr>
          <w:p w:rsidR="00827F97" w:rsidRPr="00B7225B" w:rsidRDefault="00827F97" w:rsidP="00E9231C">
            <w:pPr>
              <w:tabs>
                <w:tab w:val="left" w:pos="993"/>
              </w:tabs>
              <w:spacing w:after="0" w:line="240" w:lineRule="auto"/>
              <w:jc w:val="center"/>
              <w:rPr>
                <w:rFonts w:eastAsia="Calibri"/>
              </w:rPr>
            </w:pPr>
            <w:r w:rsidRPr="00B7225B">
              <w:rPr>
                <w:rFonts w:eastAsia="Calibri"/>
              </w:rPr>
              <w:t>№</w:t>
            </w:r>
          </w:p>
        </w:tc>
        <w:tc>
          <w:tcPr>
            <w:tcW w:w="2268" w:type="dxa"/>
            <w:vAlign w:val="center"/>
          </w:tcPr>
          <w:p w:rsidR="00827F97" w:rsidRPr="00B7225B" w:rsidRDefault="00827F97" w:rsidP="00E9231C">
            <w:pPr>
              <w:tabs>
                <w:tab w:val="left" w:pos="993"/>
              </w:tabs>
              <w:spacing w:after="0" w:line="240" w:lineRule="auto"/>
              <w:jc w:val="center"/>
              <w:rPr>
                <w:rFonts w:eastAsia="Calibri"/>
              </w:rPr>
            </w:pPr>
            <w:r w:rsidRPr="00B7225B">
              <w:rPr>
                <w:rFonts w:eastAsia="Calibri"/>
              </w:rPr>
              <w:t>Наименование Заявителя</w:t>
            </w:r>
          </w:p>
        </w:tc>
        <w:tc>
          <w:tcPr>
            <w:tcW w:w="1842" w:type="dxa"/>
            <w:vAlign w:val="center"/>
          </w:tcPr>
          <w:p w:rsidR="00827F97" w:rsidRPr="00B7225B" w:rsidRDefault="00827F97" w:rsidP="00E9231C">
            <w:pPr>
              <w:tabs>
                <w:tab w:val="left" w:pos="993"/>
              </w:tabs>
              <w:spacing w:after="0" w:line="240" w:lineRule="auto"/>
              <w:jc w:val="center"/>
              <w:rPr>
                <w:rFonts w:eastAsia="Calibri"/>
                <w:lang w:val="en-US"/>
              </w:rPr>
            </w:pPr>
            <w:r w:rsidRPr="00B7225B">
              <w:rPr>
                <w:rFonts w:eastAsia="Calibri"/>
              </w:rPr>
              <w:t>Сумма</w:t>
            </w:r>
            <w:r w:rsidR="009E4824" w:rsidRPr="00B7225B">
              <w:rPr>
                <w:rFonts w:eastAsia="Calibri"/>
              </w:rPr>
              <w:t>, руб.</w:t>
            </w:r>
          </w:p>
        </w:tc>
        <w:tc>
          <w:tcPr>
            <w:tcW w:w="4820" w:type="dxa"/>
            <w:vAlign w:val="center"/>
          </w:tcPr>
          <w:p w:rsidR="00827F97" w:rsidRPr="00B7225B" w:rsidRDefault="00827F97" w:rsidP="00E9231C">
            <w:pPr>
              <w:tabs>
                <w:tab w:val="left" w:pos="993"/>
              </w:tabs>
              <w:spacing w:after="0" w:line="240" w:lineRule="auto"/>
              <w:jc w:val="center"/>
              <w:rPr>
                <w:rFonts w:eastAsia="Calibri"/>
              </w:rPr>
            </w:pPr>
            <w:r w:rsidRPr="00B7225B">
              <w:rPr>
                <w:rFonts w:eastAsia="Calibri"/>
              </w:rPr>
              <w:t>Предмет Договора</w:t>
            </w:r>
          </w:p>
        </w:tc>
      </w:tr>
      <w:tr w:rsidR="00827F97" w:rsidRPr="00B7225B" w:rsidTr="00195D14">
        <w:tc>
          <w:tcPr>
            <w:tcW w:w="421" w:type="dxa"/>
          </w:tcPr>
          <w:p w:rsidR="00827F97" w:rsidRPr="00B7225B" w:rsidRDefault="00827F97" w:rsidP="00E9231C">
            <w:pPr>
              <w:tabs>
                <w:tab w:val="left" w:pos="993"/>
              </w:tabs>
              <w:spacing w:after="0" w:line="240" w:lineRule="auto"/>
              <w:jc w:val="center"/>
              <w:rPr>
                <w:rFonts w:eastAsia="Calibri"/>
              </w:rPr>
            </w:pPr>
            <w:r w:rsidRPr="00B7225B">
              <w:rPr>
                <w:rFonts w:eastAsia="Calibri"/>
              </w:rPr>
              <w:t>1</w:t>
            </w:r>
          </w:p>
        </w:tc>
        <w:tc>
          <w:tcPr>
            <w:tcW w:w="2268" w:type="dxa"/>
          </w:tcPr>
          <w:p w:rsidR="00827F97" w:rsidRPr="00B7225B" w:rsidRDefault="00827F97" w:rsidP="00E9231C">
            <w:pPr>
              <w:tabs>
                <w:tab w:val="left" w:pos="993"/>
              </w:tabs>
              <w:spacing w:after="0" w:line="240" w:lineRule="auto"/>
              <w:jc w:val="center"/>
              <w:rPr>
                <w:rFonts w:eastAsia="Calibri"/>
              </w:rPr>
            </w:pPr>
            <w:r w:rsidRPr="00B7225B">
              <w:rPr>
                <w:rFonts w:eastAsia="Calibri"/>
              </w:rPr>
              <w:t>ООО «Юнигрин Инжиниринг»</w:t>
            </w:r>
          </w:p>
        </w:tc>
        <w:tc>
          <w:tcPr>
            <w:tcW w:w="1842" w:type="dxa"/>
          </w:tcPr>
          <w:p w:rsidR="00827F97" w:rsidRPr="00B7225B" w:rsidRDefault="00827F97" w:rsidP="00E9231C">
            <w:pPr>
              <w:tabs>
                <w:tab w:val="left" w:pos="993"/>
              </w:tabs>
              <w:spacing w:after="0" w:line="240" w:lineRule="auto"/>
              <w:jc w:val="center"/>
              <w:rPr>
                <w:rFonts w:eastAsia="Calibri"/>
              </w:rPr>
            </w:pPr>
            <w:r w:rsidRPr="00B7225B">
              <w:rPr>
                <w:rFonts w:eastAsia="Calibri"/>
              </w:rPr>
              <w:t>12 477 384,51</w:t>
            </w:r>
          </w:p>
        </w:tc>
        <w:tc>
          <w:tcPr>
            <w:tcW w:w="4820" w:type="dxa"/>
          </w:tcPr>
          <w:p w:rsidR="00827F97" w:rsidRPr="00B7225B" w:rsidRDefault="00827F97" w:rsidP="00E9231C">
            <w:pPr>
              <w:tabs>
                <w:tab w:val="left" w:pos="993"/>
              </w:tabs>
              <w:spacing w:after="0" w:line="240" w:lineRule="auto"/>
              <w:jc w:val="center"/>
              <w:rPr>
                <w:rFonts w:eastAsia="Calibri"/>
              </w:rPr>
            </w:pPr>
            <w:r w:rsidRPr="00B7225B">
              <w:rPr>
                <w:rFonts w:eastAsia="Calibri"/>
              </w:rPr>
              <w:t xml:space="preserve">Строительство Ачхой-Мартановской СЭС, расположенной по адресу: Чеченская Республика. Ачхой-Мартановский район, с. Самашки. </w:t>
            </w:r>
          </w:p>
        </w:tc>
      </w:tr>
    </w:tbl>
    <w:p w:rsidR="0013185A" w:rsidRDefault="0013185A" w:rsidP="00E9231C">
      <w:pPr>
        <w:pStyle w:val="af8"/>
        <w:tabs>
          <w:tab w:val="left" w:pos="993"/>
        </w:tabs>
        <w:ind w:left="0" w:right="-143" w:firstLine="709"/>
        <w:jc w:val="both"/>
        <w:rPr>
          <w:rFonts w:ascii="Times New Roman" w:hAnsi="Times New Roman" w:cs="Times New Roman"/>
          <w:sz w:val="24"/>
          <w:szCs w:val="24"/>
        </w:rPr>
      </w:pPr>
    </w:p>
    <w:p w:rsidR="00B61CB6" w:rsidRDefault="00B61CB6" w:rsidP="00B61CB6">
      <w:pPr>
        <w:pStyle w:val="af8"/>
        <w:ind w:left="0" w:right="-143" w:firstLine="709"/>
        <w:jc w:val="both"/>
        <w:rPr>
          <w:rFonts w:ascii="Times New Roman" w:hAnsi="Times New Roman" w:cs="Times New Roman"/>
          <w:sz w:val="24"/>
          <w:szCs w:val="24"/>
        </w:rPr>
      </w:pPr>
      <w:r w:rsidRPr="00B61CB6">
        <w:rPr>
          <w:rFonts w:ascii="Times New Roman" w:hAnsi="Times New Roman" w:cs="Times New Roman"/>
          <w:sz w:val="24"/>
          <w:szCs w:val="24"/>
        </w:rPr>
        <w:t xml:space="preserve">Благодаря проделанной работе в 2023 году удалось выявить и «легализовать» 33 600 опор с незаконным размещением ВОЛС третьими лицами, что в свою очередь подтверждается подписанными Договором с АО «ВайнахТелеком».                      </w:t>
      </w:r>
    </w:p>
    <w:p w:rsidR="00B61CB6" w:rsidRPr="00B369F9" w:rsidRDefault="00B61CB6" w:rsidP="00E9231C">
      <w:pPr>
        <w:pStyle w:val="af8"/>
        <w:tabs>
          <w:tab w:val="left" w:pos="993"/>
        </w:tabs>
        <w:ind w:left="0" w:right="-143" w:firstLine="709"/>
        <w:jc w:val="both"/>
        <w:rPr>
          <w:rFonts w:ascii="Times New Roman" w:hAnsi="Times New Roman" w:cs="Times New Roman"/>
          <w:sz w:val="24"/>
          <w:szCs w:val="24"/>
        </w:rPr>
      </w:pPr>
    </w:p>
    <w:p w:rsidR="00646C13" w:rsidRPr="00FC4B06" w:rsidRDefault="00646C13" w:rsidP="005B2B61">
      <w:pPr>
        <w:pStyle w:val="af8"/>
        <w:tabs>
          <w:tab w:val="left" w:pos="993"/>
        </w:tabs>
        <w:ind w:left="0" w:right="-143" w:firstLine="709"/>
        <w:jc w:val="both"/>
        <w:outlineLvl w:val="0"/>
        <w:rPr>
          <w:rFonts w:ascii="Times New Roman" w:hAnsi="Times New Roman" w:cs="Times New Roman"/>
          <w:b/>
          <w:sz w:val="24"/>
          <w:szCs w:val="24"/>
        </w:rPr>
      </w:pPr>
      <w:bookmarkStart w:id="22" w:name="_Toc163738866"/>
      <w:r w:rsidRPr="00FC4B06">
        <w:rPr>
          <w:rFonts w:ascii="Times New Roman" w:hAnsi="Times New Roman" w:cs="Times New Roman"/>
          <w:b/>
          <w:sz w:val="24"/>
          <w:szCs w:val="24"/>
        </w:rPr>
        <w:t>Инвестиционная деятельность</w:t>
      </w:r>
      <w:bookmarkEnd w:id="22"/>
    </w:p>
    <w:p w:rsidR="00646C13" w:rsidRPr="00B369F9" w:rsidRDefault="00646C13" w:rsidP="007C7C02">
      <w:pPr>
        <w:pStyle w:val="af8"/>
        <w:tabs>
          <w:tab w:val="left" w:pos="993"/>
        </w:tabs>
        <w:ind w:left="0" w:right="-143" w:firstLine="709"/>
        <w:jc w:val="both"/>
        <w:rPr>
          <w:rFonts w:ascii="Times New Roman" w:hAnsi="Times New Roman" w:cs="Times New Roman"/>
          <w:sz w:val="24"/>
          <w:szCs w:val="24"/>
        </w:rPr>
      </w:pPr>
    </w:p>
    <w:p w:rsidR="00A924F1" w:rsidRPr="00646C13" w:rsidRDefault="00A924F1" w:rsidP="00A924F1">
      <w:pPr>
        <w:tabs>
          <w:tab w:val="left" w:pos="1134"/>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Параме</w:t>
      </w:r>
      <w:r>
        <w:rPr>
          <w:rFonts w:ascii="Times New Roman" w:eastAsia="Times New Roman" w:hAnsi="Times New Roman" w:cs="Times New Roman"/>
          <w:b/>
          <w:sz w:val="24"/>
          <w:szCs w:val="24"/>
          <w:lang w:eastAsia="ru-RU"/>
        </w:rPr>
        <w:t>тры инвестиционной деятельности</w:t>
      </w:r>
    </w:p>
    <w:p w:rsidR="00A924F1" w:rsidRPr="00646C13" w:rsidRDefault="00A924F1" w:rsidP="00A924F1">
      <w:pPr>
        <w:tabs>
          <w:tab w:val="left" w:pos="142"/>
          <w:tab w:val="left" w:pos="93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Инвестиционная программа </w:t>
      </w:r>
      <w:r>
        <w:rPr>
          <w:rFonts w:ascii="Times New Roman" w:eastAsia="Times New Roman" w:hAnsi="Times New Roman" w:cs="Times New Roman"/>
          <w:sz w:val="24"/>
          <w:szCs w:val="24"/>
          <w:lang w:eastAsia="ru-RU"/>
        </w:rPr>
        <w:t>Общества на 2023</w:t>
      </w:r>
      <w:r w:rsidRPr="00646C13">
        <w:rPr>
          <w:rFonts w:ascii="Times New Roman" w:eastAsia="Times New Roman" w:hAnsi="Times New Roman" w:cs="Times New Roman"/>
          <w:sz w:val="24"/>
          <w:szCs w:val="24"/>
          <w:lang w:eastAsia="ru-RU"/>
        </w:rPr>
        <w:t xml:space="preserve"> год утверждена приказом Минэнерго России от </w:t>
      </w:r>
      <w:r>
        <w:rPr>
          <w:rFonts w:ascii="Times New Roman" w:eastAsia="Times New Roman" w:hAnsi="Times New Roman" w:cs="Times New Roman"/>
          <w:sz w:val="24"/>
          <w:szCs w:val="24"/>
          <w:lang w:eastAsia="ru-RU"/>
        </w:rPr>
        <w:t>28.12.2023</w:t>
      </w:r>
      <w:r w:rsidRPr="00646C1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6@.</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646C13" w:rsidRDefault="00A924F1" w:rsidP="00A924F1">
      <w:pPr>
        <w:tabs>
          <w:tab w:val="left" w:pos="9356"/>
        </w:tabs>
        <w:spacing w:after="0" w:line="240" w:lineRule="auto"/>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Основные параметры инвестиционной программы</w:t>
      </w:r>
      <w:r>
        <w:rPr>
          <w:rFonts w:ascii="Times New Roman" w:eastAsia="Times New Roman" w:hAnsi="Times New Roman" w:cs="Times New Roman"/>
          <w:b/>
          <w:sz w:val="24"/>
          <w:szCs w:val="24"/>
          <w:lang w:eastAsia="ru-RU"/>
        </w:rPr>
        <w:t xml:space="preserve"> на 2023 год</w:t>
      </w:r>
    </w:p>
    <w:tbl>
      <w:tblPr>
        <w:tblW w:w="35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6"/>
        <w:gridCol w:w="1318"/>
        <w:gridCol w:w="1909"/>
        <w:gridCol w:w="965"/>
        <w:gridCol w:w="1052"/>
      </w:tblGrid>
      <w:tr w:rsidR="00A924F1" w:rsidRPr="007170FB" w:rsidTr="00A924F1">
        <w:trPr>
          <w:trHeight w:val="164"/>
          <w:jc w:val="center"/>
        </w:trPr>
        <w:tc>
          <w:tcPr>
            <w:tcW w:w="1081"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b/>
                <w:bCs/>
                <w:sz w:val="20"/>
                <w:szCs w:val="20"/>
                <w:lang w:val="en-US" w:eastAsia="ru-RU"/>
              </w:rPr>
            </w:pPr>
            <w:r w:rsidRPr="007170FB">
              <w:rPr>
                <w:rFonts w:ascii="Times New Roman" w:eastAsia="Times New Roman" w:hAnsi="Times New Roman" w:cs="Times New Roman"/>
                <w:b/>
                <w:bCs/>
                <w:sz w:val="20"/>
                <w:szCs w:val="20"/>
                <w:lang w:eastAsia="ru-RU"/>
              </w:rPr>
              <w:t>Освоение</w:t>
            </w:r>
          </w:p>
        </w:tc>
        <w:tc>
          <w:tcPr>
            <w:tcW w:w="985"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 xml:space="preserve">Ввод </w:t>
            </w:r>
            <w:r>
              <w:rPr>
                <w:rFonts w:ascii="Times New Roman" w:eastAsia="Times New Roman" w:hAnsi="Times New Roman" w:cs="Times New Roman"/>
                <w:b/>
                <w:bCs/>
                <w:sz w:val="20"/>
                <w:szCs w:val="20"/>
                <w:lang w:eastAsia="ru-RU"/>
              </w:rPr>
              <w:t>основных фондов</w:t>
            </w:r>
          </w:p>
        </w:tc>
        <w:tc>
          <w:tcPr>
            <w:tcW w:w="1427"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Финансирование</w:t>
            </w:r>
          </w:p>
        </w:tc>
        <w:tc>
          <w:tcPr>
            <w:tcW w:w="1507" w:type="pct"/>
            <w:gridSpan w:val="2"/>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b/>
                <w:bCs/>
                <w:sz w:val="20"/>
                <w:szCs w:val="20"/>
                <w:lang w:eastAsia="ru-RU"/>
              </w:rPr>
            </w:pPr>
            <w:r w:rsidRPr="007170FB">
              <w:rPr>
                <w:rFonts w:ascii="Times New Roman" w:eastAsia="Times New Roman" w:hAnsi="Times New Roman" w:cs="Times New Roman"/>
                <w:b/>
                <w:bCs/>
                <w:sz w:val="20"/>
                <w:szCs w:val="20"/>
                <w:lang w:eastAsia="ru-RU"/>
              </w:rPr>
              <w:t>Ввод мощности</w:t>
            </w:r>
          </w:p>
        </w:tc>
      </w:tr>
      <w:tr w:rsidR="00A924F1" w:rsidRPr="007170FB" w:rsidTr="00A924F1">
        <w:trPr>
          <w:trHeight w:val="491"/>
          <w:jc w:val="center"/>
        </w:trPr>
        <w:tc>
          <w:tcPr>
            <w:tcW w:w="1081"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без НДС</w:t>
            </w:r>
          </w:p>
        </w:tc>
        <w:tc>
          <w:tcPr>
            <w:tcW w:w="985"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без НДС</w:t>
            </w:r>
          </w:p>
        </w:tc>
        <w:tc>
          <w:tcPr>
            <w:tcW w:w="1427"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млн руб. с НДС</w:t>
            </w:r>
          </w:p>
        </w:tc>
        <w:tc>
          <w:tcPr>
            <w:tcW w:w="721"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МВА</w:t>
            </w:r>
          </w:p>
        </w:tc>
        <w:tc>
          <w:tcPr>
            <w:tcW w:w="786"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sidRPr="007170FB">
              <w:rPr>
                <w:rFonts w:ascii="Times New Roman" w:eastAsia="Times New Roman" w:hAnsi="Times New Roman" w:cs="Times New Roman"/>
                <w:sz w:val="20"/>
                <w:szCs w:val="20"/>
                <w:lang w:eastAsia="ru-RU"/>
              </w:rPr>
              <w:t>км</w:t>
            </w:r>
          </w:p>
        </w:tc>
      </w:tr>
      <w:tr w:rsidR="00A924F1" w:rsidRPr="007170FB" w:rsidTr="00A924F1">
        <w:trPr>
          <w:jc w:val="center"/>
        </w:trPr>
        <w:tc>
          <w:tcPr>
            <w:tcW w:w="1081"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2 648,41</w:t>
            </w:r>
          </w:p>
        </w:tc>
        <w:tc>
          <w:tcPr>
            <w:tcW w:w="985"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758,41</w:t>
            </w:r>
          </w:p>
        </w:tc>
        <w:tc>
          <w:tcPr>
            <w:tcW w:w="1427"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eastAsia="ru-RU"/>
              </w:rPr>
              <w:t>3 974,76</w:t>
            </w:r>
          </w:p>
        </w:tc>
        <w:tc>
          <w:tcPr>
            <w:tcW w:w="721"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14,11</w:t>
            </w:r>
          </w:p>
        </w:tc>
        <w:tc>
          <w:tcPr>
            <w:tcW w:w="786" w:type="pct"/>
            <w:shd w:val="clear" w:color="auto" w:fill="auto"/>
          </w:tcPr>
          <w:p w:rsidR="00A924F1" w:rsidRPr="007170FB" w:rsidRDefault="00A924F1" w:rsidP="00A924F1">
            <w:pPr>
              <w:tabs>
                <w:tab w:val="left" w:pos="9356"/>
              </w:tabs>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323,56</w:t>
            </w:r>
          </w:p>
        </w:tc>
      </w:tr>
    </w:tbl>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7170FB">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3</w:t>
      </w:r>
      <w:r w:rsidRPr="007170FB">
        <w:rPr>
          <w:rFonts w:ascii="Times New Roman" w:eastAsia="Times New Roman" w:hAnsi="Times New Roman" w:cs="Times New Roman"/>
          <w:sz w:val="24"/>
          <w:szCs w:val="24"/>
          <w:lang w:eastAsia="ru-RU"/>
        </w:rPr>
        <w:t xml:space="preserve"> году </w:t>
      </w:r>
      <w:r>
        <w:rPr>
          <w:rFonts w:ascii="Times New Roman" w:eastAsia="Times New Roman" w:hAnsi="Times New Roman" w:cs="Times New Roman"/>
          <w:sz w:val="24"/>
          <w:szCs w:val="24"/>
          <w:lang w:eastAsia="ru-RU"/>
        </w:rPr>
        <w:t>Обществом</w:t>
      </w:r>
      <w:r w:rsidRPr="007170FB">
        <w:rPr>
          <w:rFonts w:ascii="Times New Roman" w:eastAsia="Times New Roman" w:hAnsi="Times New Roman" w:cs="Times New Roman"/>
          <w:sz w:val="24"/>
          <w:szCs w:val="24"/>
          <w:lang w:eastAsia="ru-RU"/>
        </w:rPr>
        <w:t xml:space="preserve"> освоено капитальных вложений на сумму </w:t>
      </w:r>
      <w:r>
        <w:rPr>
          <w:rFonts w:ascii="Times New Roman" w:eastAsia="Times New Roman" w:hAnsi="Times New Roman" w:cs="Times New Roman"/>
          <w:sz w:val="24"/>
          <w:szCs w:val="24"/>
          <w:lang w:eastAsia="ru-RU"/>
        </w:rPr>
        <w:t>2 648,41 </w:t>
      </w:r>
      <w:r w:rsidRPr="007170FB">
        <w:rPr>
          <w:rFonts w:ascii="Times New Roman" w:eastAsia="Times New Roman" w:hAnsi="Times New Roman" w:cs="Times New Roman"/>
          <w:sz w:val="24"/>
          <w:szCs w:val="24"/>
          <w:lang w:eastAsia="ru-RU"/>
        </w:rPr>
        <w:t xml:space="preserve">млн руб. без НДС, профинансировано выполненных работ в объёме </w:t>
      </w:r>
      <w:r>
        <w:rPr>
          <w:rFonts w:ascii="Times New Roman" w:eastAsia="Times New Roman" w:hAnsi="Times New Roman" w:cs="Times New Roman"/>
          <w:sz w:val="24"/>
          <w:szCs w:val="24"/>
          <w:lang w:eastAsia="ru-RU"/>
        </w:rPr>
        <w:t>3 974,76</w:t>
      </w:r>
      <w:r w:rsidRPr="007170FB">
        <w:rPr>
          <w:rFonts w:ascii="Times New Roman" w:eastAsia="Times New Roman" w:hAnsi="Times New Roman" w:cs="Times New Roman"/>
          <w:sz w:val="24"/>
          <w:szCs w:val="24"/>
          <w:lang w:eastAsia="ru-RU"/>
        </w:rPr>
        <w:t xml:space="preserve"> млн руб. с НДС. Общий ввод основных фондов составил </w:t>
      </w:r>
      <w:r>
        <w:rPr>
          <w:rFonts w:ascii="Times New Roman" w:eastAsia="Times New Roman" w:hAnsi="Times New Roman" w:cs="Times New Roman"/>
          <w:sz w:val="24"/>
          <w:szCs w:val="24"/>
          <w:lang w:eastAsia="ru-RU"/>
        </w:rPr>
        <w:t>758,41</w:t>
      </w:r>
      <w:r w:rsidRPr="007170FB">
        <w:rPr>
          <w:rFonts w:ascii="Times New Roman" w:eastAsia="Times New Roman" w:hAnsi="Times New Roman" w:cs="Times New Roman"/>
          <w:sz w:val="24"/>
          <w:szCs w:val="24"/>
          <w:lang w:eastAsia="ru-RU"/>
        </w:rPr>
        <w:t xml:space="preserve"> млн руб., введено линий электропередачи общей протяжённостью </w:t>
      </w:r>
      <w:r>
        <w:rPr>
          <w:rFonts w:ascii="Times New Roman" w:eastAsia="Times New Roman" w:hAnsi="Times New Roman" w:cs="Times New Roman"/>
          <w:sz w:val="24"/>
          <w:szCs w:val="24"/>
          <w:lang w:eastAsia="ru-RU"/>
        </w:rPr>
        <w:t>323,56</w:t>
      </w:r>
      <w:r w:rsidRPr="007170FB">
        <w:rPr>
          <w:rFonts w:ascii="Times New Roman" w:eastAsia="Times New Roman" w:hAnsi="Times New Roman" w:cs="Times New Roman"/>
          <w:sz w:val="24"/>
          <w:szCs w:val="24"/>
          <w:lang w:eastAsia="ru-RU"/>
        </w:rPr>
        <w:t xml:space="preserve"> км и </w:t>
      </w:r>
      <w:r>
        <w:rPr>
          <w:rFonts w:ascii="Times New Roman" w:eastAsia="Times New Roman" w:hAnsi="Times New Roman" w:cs="Times New Roman"/>
          <w:sz w:val="24"/>
          <w:szCs w:val="24"/>
          <w:lang w:eastAsia="ru-RU"/>
        </w:rPr>
        <w:t>14,11</w:t>
      </w:r>
      <w:r w:rsidRPr="007170FB">
        <w:rPr>
          <w:rFonts w:ascii="Times New Roman" w:eastAsia="Times New Roman" w:hAnsi="Times New Roman" w:cs="Times New Roman"/>
          <w:sz w:val="24"/>
          <w:szCs w:val="24"/>
          <w:lang w:eastAsia="ru-RU"/>
        </w:rPr>
        <w:t xml:space="preserve"> МВА трансформаторной мощности.</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A924F1" w:rsidRDefault="00A924F1" w:rsidP="00A924F1">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924F1">
        <w:rPr>
          <w:rFonts w:ascii="Times New Roman" w:eastAsia="Times New Roman" w:hAnsi="Times New Roman" w:cs="Times New Roman"/>
          <w:b/>
          <w:sz w:val="24"/>
          <w:szCs w:val="24"/>
          <w:lang w:eastAsia="ru-RU"/>
        </w:rPr>
        <w:lastRenderedPageBreak/>
        <w:t>Исполнение инвестиционной программы</w:t>
      </w:r>
    </w:p>
    <w:tbl>
      <w:tblPr>
        <w:tblW w:w="52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9"/>
        <w:gridCol w:w="1071"/>
        <w:gridCol w:w="1044"/>
        <w:gridCol w:w="1034"/>
        <w:gridCol w:w="1007"/>
        <w:gridCol w:w="1451"/>
      </w:tblGrid>
      <w:tr w:rsidR="00A924F1" w:rsidRPr="00A924F1" w:rsidTr="00A924F1">
        <w:trPr>
          <w:cantSplit/>
          <w:trHeight w:val="64"/>
        </w:trPr>
        <w:tc>
          <w:tcPr>
            <w:tcW w:w="2132" w:type="pct"/>
            <w:vMerge w:val="restar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Показатели</w:t>
            </w:r>
          </w:p>
        </w:tc>
        <w:tc>
          <w:tcPr>
            <w:tcW w:w="548" w:type="pct"/>
            <w:vMerge w:val="restart"/>
            <w:vAlign w:val="center"/>
          </w:tcPr>
          <w:p w:rsidR="00A924F1" w:rsidRPr="00A924F1" w:rsidRDefault="00A924F1" w:rsidP="00A924F1">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Ед. изм.</w:t>
            </w:r>
          </w:p>
        </w:tc>
        <w:tc>
          <w:tcPr>
            <w:tcW w:w="2320" w:type="pct"/>
            <w:gridSpan w:val="4"/>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Факт</w:t>
            </w:r>
          </w:p>
        </w:tc>
      </w:tr>
      <w:tr w:rsidR="00A924F1" w:rsidRPr="00A924F1" w:rsidTr="00A924F1">
        <w:trPr>
          <w:cantSplit/>
        </w:trPr>
        <w:tc>
          <w:tcPr>
            <w:tcW w:w="2132" w:type="pct"/>
            <w:vMerge/>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548" w:type="pct"/>
            <w:vMerge/>
            <w:vAlign w:val="center"/>
          </w:tcPr>
          <w:p w:rsidR="00A924F1" w:rsidRPr="00A924F1" w:rsidRDefault="00A924F1" w:rsidP="00A924F1">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534" w:type="pct"/>
            <w:shd w:val="clear" w:color="auto" w:fill="auto"/>
            <w:vAlign w:val="center"/>
          </w:tcPr>
          <w:p w:rsidR="00A924F1" w:rsidRPr="00A924F1" w:rsidDel="001A6DB5" w:rsidRDefault="00A924F1" w:rsidP="00A924F1">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2021 год</w:t>
            </w:r>
          </w:p>
        </w:tc>
        <w:tc>
          <w:tcPr>
            <w:tcW w:w="529"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2022 год</w:t>
            </w:r>
          </w:p>
        </w:tc>
        <w:tc>
          <w:tcPr>
            <w:tcW w:w="515"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2023 год</w:t>
            </w:r>
          </w:p>
        </w:tc>
        <w:tc>
          <w:tcPr>
            <w:tcW w:w="742" w:type="pct"/>
            <w:vAlign w:val="center"/>
          </w:tcPr>
          <w:p w:rsidR="00A924F1" w:rsidRPr="00A924F1" w:rsidRDefault="00A924F1" w:rsidP="00A924F1">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изменение</w:t>
            </w:r>
          </w:p>
          <w:p w:rsidR="00A924F1" w:rsidRPr="00A924F1" w:rsidRDefault="00A924F1" w:rsidP="00A924F1">
            <w:pPr>
              <w:widowControl w:val="0"/>
              <w:spacing w:after="0" w:line="240" w:lineRule="auto"/>
              <w:jc w:val="center"/>
              <w:rPr>
                <w:rFonts w:ascii="Times New Roman" w:eastAsia="Times New Roman" w:hAnsi="Times New Roman" w:cs="Times New Roman"/>
                <w:b/>
                <w:bCs/>
                <w:color w:val="000000"/>
                <w:sz w:val="20"/>
                <w:szCs w:val="20"/>
                <w:lang w:eastAsia="ru-RU"/>
              </w:rPr>
            </w:pPr>
            <w:r w:rsidRPr="00A924F1">
              <w:rPr>
                <w:rFonts w:ascii="Times New Roman" w:eastAsia="Times New Roman" w:hAnsi="Times New Roman" w:cs="Times New Roman"/>
                <w:b/>
                <w:bCs/>
                <w:color w:val="000000"/>
                <w:sz w:val="20"/>
                <w:szCs w:val="20"/>
                <w:lang w:eastAsia="ru-RU"/>
              </w:rPr>
              <w:t>2023/2022, %</w:t>
            </w:r>
          </w:p>
        </w:tc>
      </w:tr>
      <w:tr w:rsidR="00A924F1" w:rsidRPr="00A924F1" w:rsidTr="00A924F1">
        <w:trPr>
          <w:cantSplit/>
        </w:trPr>
        <w:tc>
          <w:tcPr>
            <w:tcW w:w="2132"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w:t>
            </w:r>
          </w:p>
        </w:tc>
        <w:tc>
          <w:tcPr>
            <w:tcW w:w="548" w:type="pct"/>
            <w:vAlign w:val="center"/>
          </w:tcPr>
          <w:p w:rsidR="00A924F1" w:rsidRPr="00A924F1" w:rsidRDefault="00A924F1" w:rsidP="00A924F1">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2</w:t>
            </w:r>
          </w:p>
        </w:tc>
        <w:tc>
          <w:tcPr>
            <w:tcW w:w="534"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3</w:t>
            </w:r>
          </w:p>
        </w:tc>
        <w:tc>
          <w:tcPr>
            <w:tcW w:w="529" w:type="pct"/>
            <w:shd w:val="clear" w:color="auto" w:fill="auto"/>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4</w:t>
            </w:r>
          </w:p>
        </w:tc>
        <w:tc>
          <w:tcPr>
            <w:tcW w:w="515"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5</w:t>
            </w:r>
          </w:p>
        </w:tc>
        <w:tc>
          <w:tcPr>
            <w:tcW w:w="742" w:type="pct"/>
            <w:vAlign w:val="center"/>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6</w:t>
            </w:r>
          </w:p>
        </w:tc>
      </w:tr>
      <w:tr w:rsidR="00A924F1" w:rsidRPr="00A924F1" w:rsidTr="00A924F1">
        <w:trPr>
          <w:cantSplit/>
        </w:trPr>
        <w:tc>
          <w:tcPr>
            <w:tcW w:w="2132" w:type="pct"/>
            <w:vAlign w:val="center"/>
          </w:tcPr>
          <w:p w:rsidR="00A924F1" w:rsidRPr="00A924F1" w:rsidRDefault="00A924F1" w:rsidP="00A924F1">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A924F1">
              <w:rPr>
                <w:rFonts w:ascii="Times New Roman" w:eastAsia="Times New Roman" w:hAnsi="Times New Roman" w:cs="Times New Roman"/>
                <w:color w:val="000000"/>
                <w:sz w:val="20"/>
                <w:szCs w:val="20"/>
                <w:lang w:eastAsia="ru-RU"/>
              </w:rPr>
              <w:t xml:space="preserve">Объем финансирования </w:t>
            </w:r>
          </w:p>
        </w:tc>
        <w:tc>
          <w:tcPr>
            <w:tcW w:w="548" w:type="pct"/>
          </w:tcPr>
          <w:p w:rsidR="00A924F1" w:rsidRPr="00A924F1" w:rsidRDefault="00A924F1" w:rsidP="00A924F1">
            <w:pPr>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 xml:space="preserve">млн </w:t>
            </w:r>
            <w:r>
              <w:rPr>
                <w:rFonts w:ascii="Times New Roman" w:eastAsia="Times New Roman" w:hAnsi="Times New Roman" w:cs="Times New Roman"/>
                <w:bCs/>
                <w:color w:val="000000"/>
                <w:sz w:val="20"/>
                <w:szCs w:val="20"/>
                <w:lang w:eastAsia="ru-RU"/>
              </w:rPr>
              <w:t>р</w:t>
            </w:r>
            <w:r w:rsidRPr="00A924F1">
              <w:rPr>
                <w:rFonts w:ascii="Times New Roman" w:eastAsia="Times New Roman" w:hAnsi="Times New Roman" w:cs="Times New Roman"/>
                <w:bCs/>
                <w:color w:val="000000"/>
                <w:sz w:val="20"/>
                <w:szCs w:val="20"/>
                <w:lang w:eastAsia="ru-RU"/>
              </w:rPr>
              <w:t>уб.</w:t>
            </w:r>
          </w:p>
        </w:tc>
        <w:tc>
          <w:tcPr>
            <w:tcW w:w="534" w:type="pct"/>
            <w:shd w:val="clear" w:color="auto" w:fill="auto"/>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2 284,75</w:t>
            </w:r>
          </w:p>
        </w:tc>
        <w:tc>
          <w:tcPr>
            <w:tcW w:w="529"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2 455,99</w:t>
            </w:r>
          </w:p>
        </w:tc>
        <w:tc>
          <w:tcPr>
            <w:tcW w:w="515"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3 974,76</w:t>
            </w:r>
          </w:p>
        </w:tc>
        <w:tc>
          <w:tcPr>
            <w:tcW w:w="742"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highlight w:val="red"/>
                <w:lang w:eastAsia="ru-RU"/>
              </w:rPr>
            </w:pPr>
            <w:r w:rsidRPr="00A924F1">
              <w:rPr>
                <w:rFonts w:ascii="Times New Roman" w:eastAsia="Times New Roman" w:hAnsi="Times New Roman" w:cs="Times New Roman"/>
                <w:bCs/>
                <w:color w:val="000000"/>
                <w:sz w:val="20"/>
                <w:szCs w:val="20"/>
                <w:lang w:eastAsia="ru-RU"/>
              </w:rPr>
              <w:t>162</w:t>
            </w:r>
          </w:p>
        </w:tc>
      </w:tr>
      <w:tr w:rsidR="00A924F1" w:rsidRPr="00A924F1" w:rsidTr="00A924F1">
        <w:trPr>
          <w:cantSplit/>
        </w:trPr>
        <w:tc>
          <w:tcPr>
            <w:tcW w:w="2132" w:type="pct"/>
            <w:vAlign w:val="center"/>
          </w:tcPr>
          <w:p w:rsidR="00A924F1" w:rsidRPr="00A924F1" w:rsidRDefault="00A924F1" w:rsidP="00A924F1">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A924F1">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548" w:type="pct"/>
          </w:tcPr>
          <w:p w:rsidR="00A924F1" w:rsidRPr="00A924F1" w:rsidRDefault="00A924F1" w:rsidP="00A924F1">
            <w:pPr>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млн руб.</w:t>
            </w:r>
          </w:p>
        </w:tc>
        <w:tc>
          <w:tcPr>
            <w:tcW w:w="534" w:type="pct"/>
            <w:shd w:val="clear" w:color="auto" w:fill="auto"/>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1 959,13</w:t>
            </w:r>
          </w:p>
        </w:tc>
        <w:tc>
          <w:tcPr>
            <w:tcW w:w="529"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1 858,23</w:t>
            </w:r>
          </w:p>
        </w:tc>
        <w:tc>
          <w:tcPr>
            <w:tcW w:w="515"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2 648,41</w:t>
            </w:r>
          </w:p>
        </w:tc>
        <w:tc>
          <w:tcPr>
            <w:tcW w:w="742"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143</w:t>
            </w:r>
          </w:p>
        </w:tc>
      </w:tr>
      <w:tr w:rsidR="00A924F1" w:rsidRPr="00A924F1" w:rsidTr="00A924F1">
        <w:trPr>
          <w:cantSplit/>
        </w:trPr>
        <w:tc>
          <w:tcPr>
            <w:tcW w:w="2132" w:type="pct"/>
            <w:vAlign w:val="center"/>
          </w:tcPr>
          <w:p w:rsidR="00A924F1" w:rsidRPr="00A924F1" w:rsidRDefault="00A924F1" w:rsidP="00A924F1">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A924F1">
              <w:rPr>
                <w:rFonts w:ascii="Times New Roman" w:eastAsia="Times New Roman" w:hAnsi="Times New Roman" w:cs="Times New Roman"/>
                <w:color w:val="000000"/>
                <w:sz w:val="20"/>
                <w:szCs w:val="20"/>
                <w:lang w:eastAsia="ru-RU"/>
              </w:rPr>
              <w:t xml:space="preserve">Ввод в состав основных средств </w:t>
            </w:r>
          </w:p>
        </w:tc>
        <w:tc>
          <w:tcPr>
            <w:tcW w:w="548" w:type="pct"/>
          </w:tcPr>
          <w:p w:rsidR="00A924F1" w:rsidRPr="00A924F1" w:rsidRDefault="00A924F1" w:rsidP="00A924F1">
            <w:pPr>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млн руб.</w:t>
            </w:r>
          </w:p>
        </w:tc>
        <w:tc>
          <w:tcPr>
            <w:tcW w:w="534" w:type="pct"/>
            <w:shd w:val="clear" w:color="auto" w:fill="auto"/>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713,48</w:t>
            </w:r>
          </w:p>
        </w:tc>
        <w:tc>
          <w:tcPr>
            <w:tcW w:w="529"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1 199,24</w:t>
            </w:r>
          </w:p>
        </w:tc>
        <w:tc>
          <w:tcPr>
            <w:tcW w:w="515"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758,41</w:t>
            </w:r>
          </w:p>
        </w:tc>
        <w:tc>
          <w:tcPr>
            <w:tcW w:w="742"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63</w:t>
            </w:r>
          </w:p>
        </w:tc>
      </w:tr>
      <w:tr w:rsidR="00A924F1" w:rsidRPr="00A924F1" w:rsidTr="00A924F1">
        <w:trPr>
          <w:cantSplit/>
        </w:trPr>
        <w:tc>
          <w:tcPr>
            <w:tcW w:w="2132" w:type="pct"/>
            <w:vAlign w:val="center"/>
          </w:tcPr>
          <w:p w:rsidR="00A924F1" w:rsidRPr="00A924F1" w:rsidRDefault="00A924F1" w:rsidP="00A924F1">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A924F1">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548" w:type="pct"/>
          </w:tcPr>
          <w:p w:rsidR="00A924F1" w:rsidRPr="00A924F1" w:rsidRDefault="00A924F1" w:rsidP="00A924F1">
            <w:pPr>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МВА</w:t>
            </w:r>
          </w:p>
        </w:tc>
        <w:tc>
          <w:tcPr>
            <w:tcW w:w="534" w:type="pct"/>
            <w:shd w:val="clear" w:color="auto" w:fill="auto"/>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1,12</w:t>
            </w:r>
          </w:p>
        </w:tc>
        <w:tc>
          <w:tcPr>
            <w:tcW w:w="529"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36,48</w:t>
            </w:r>
          </w:p>
        </w:tc>
        <w:tc>
          <w:tcPr>
            <w:tcW w:w="515"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14,11</w:t>
            </w:r>
          </w:p>
        </w:tc>
        <w:tc>
          <w:tcPr>
            <w:tcW w:w="742"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39</w:t>
            </w:r>
          </w:p>
        </w:tc>
      </w:tr>
      <w:tr w:rsidR="00A924F1" w:rsidRPr="00A924F1" w:rsidTr="00A924F1">
        <w:trPr>
          <w:cantSplit/>
        </w:trPr>
        <w:tc>
          <w:tcPr>
            <w:tcW w:w="2132" w:type="pct"/>
            <w:vAlign w:val="center"/>
          </w:tcPr>
          <w:p w:rsidR="00A924F1" w:rsidRPr="00A924F1" w:rsidRDefault="00A924F1" w:rsidP="00A924F1">
            <w:pPr>
              <w:tabs>
                <w:tab w:val="left" w:pos="9356"/>
              </w:tabs>
              <w:spacing w:after="0" w:line="240" w:lineRule="auto"/>
              <w:jc w:val="both"/>
              <w:rPr>
                <w:rFonts w:ascii="Times New Roman" w:eastAsia="Times New Roman" w:hAnsi="Times New Roman" w:cs="Times New Roman"/>
                <w:color w:val="000000"/>
                <w:sz w:val="20"/>
                <w:szCs w:val="20"/>
                <w:lang w:eastAsia="ru-RU"/>
              </w:rPr>
            </w:pPr>
            <w:r w:rsidRPr="00A924F1">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548" w:type="pct"/>
          </w:tcPr>
          <w:p w:rsidR="00A924F1" w:rsidRPr="00A924F1" w:rsidRDefault="00A924F1" w:rsidP="00A924F1">
            <w:pPr>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км</w:t>
            </w:r>
          </w:p>
        </w:tc>
        <w:tc>
          <w:tcPr>
            <w:tcW w:w="534" w:type="pct"/>
            <w:shd w:val="clear" w:color="auto" w:fill="auto"/>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42,96</w:t>
            </w:r>
          </w:p>
        </w:tc>
        <w:tc>
          <w:tcPr>
            <w:tcW w:w="529"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545,13</w:t>
            </w:r>
          </w:p>
        </w:tc>
        <w:tc>
          <w:tcPr>
            <w:tcW w:w="515"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323,56</w:t>
            </w:r>
          </w:p>
        </w:tc>
        <w:tc>
          <w:tcPr>
            <w:tcW w:w="742" w:type="pct"/>
          </w:tcPr>
          <w:p w:rsidR="00A924F1" w:rsidRPr="00A924F1" w:rsidRDefault="00A924F1" w:rsidP="00A924F1">
            <w:pPr>
              <w:widowControl w:val="0"/>
              <w:spacing w:after="0" w:line="240" w:lineRule="auto"/>
              <w:jc w:val="center"/>
              <w:rPr>
                <w:rFonts w:ascii="Times New Roman" w:eastAsia="Times New Roman" w:hAnsi="Times New Roman" w:cs="Times New Roman"/>
                <w:bCs/>
                <w:color w:val="000000"/>
                <w:sz w:val="20"/>
                <w:szCs w:val="20"/>
                <w:lang w:eastAsia="ru-RU"/>
              </w:rPr>
            </w:pPr>
            <w:r w:rsidRPr="00A924F1">
              <w:rPr>
                <w:rFonts w:ascii="Times New Roman" w:eastAsia="Times New Roman" w:hAnsi="Times New Roman" w:cs="Times New Roman"/>
                <w:bCs/>
                <w:color w:val="000000"/>
                <w:sz w:val="20"/>
                <w:szCs w:val="20"/>
                <w:lang w:eastAsia="ru-RU"/>
              </w:rPr>
              <w:t>59</w:t>
            </w:r>
          </w:p>
        </w:tc>
      </w:tr>
    </w:tbl>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646C13" w:rsidRDefault="00A924F1" w:rsidP="00A924F1">
      <w:pPr>
        <w:tabs>
          <w:tab w:val="left" w:pos="9356"/>
        </w:tabs>
        <w:autoSpaceDE w:val="0"/>
        <w:autoSpaceDN w:val="0"/>
        <w:adjustRightInd w:val="0"/>
        <w:spacing w:after="0" w:line="240" w:lineRule="auto"/>
        <w:ind w:firstLine="709"/>
        <w:jc w:val="both"/>
        <w:rPr>
          <w:rFonts w:ascii="Times New Roman" w:eastAsia="Times New Roman" w:hAnsi="Times New Roman" w:cs="Times New Roman"/>
          <w:b/>
          <w:sz w:val="24"/>
          <w:szCs w:val="28"/>
          <w:lang w:eastAsia="ru-RU"/>
        </w:rPr>
      </w:pPr>
      <w:r w:rsidRPr="00646C13">
        <w:rPr>
          <w:rFonts w:ascii="Times New Roman" w:eastAsia="Times New Roman" w:hAnsi="Times New Roman" w:cs="Times New Roman"/>
          <w:b/>
          <w:sz w:val="24"/>
          <w:szCs w:val="28"/>
          <w:lang w:eastAsia="ru-RU"/>
        </w:rPr>
        <w:t>Направления и структура фина</w:t>
      </w:r>
      <w:r>
        <w:rPr>
          <w:rFonts w:ascii="Times New Roman" w:eastAsia="Times New Roman" w:hAnsi="Times New Roman" w:cs="Times New Roman"/>
          <w:b/>
          <w:sz w:val="24"/>
          <w:szCs w:val="28"/>
          <w:lang w:eastAsia="ru-RU"/>
        </w:rPr>
        <w:t>нсирования капитальных вложений</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Основной целью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в части инвестиционной деятельности является расширение действующей и строительство новой электросетевой инфраструктуры, для обеспечения надёжного электроснабжения и подключения новых потребителей и социально значимых объектов Чеченской Республики, в том числе по технологическому присоединению к электрическим сетям Общества.</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выполнены работы по следующим наиболее крупным</w:t>
      </w:r>
      <w:r>
        <w:rPr>
          <w:rFonts w:ascii="Times New Roman" w:eastAsia="Times New Roman" w:hAnsi="Times New Roman" w:cs="Times New Roman"/>
          <w:sz w:val="24"/>
          <w:szCs w:val="24"/>
          <w:lang w:eastAsia="ru-RU"/>
        </w:rPr>
        <w:t xml:space="preserve"> объектам:</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w:t>
      </w:r>
      <w:r w:rsidRPr="001570A7">
        <w:rPr>
          <w:rFonts w:ascii="Times New Roman" w:eastAsia="Times New Roman" w:hAnsi="Times New Roman" w:cs="Times New Roman"/>
          <w:sz w:val="24"/>
          <w:szCs w:val="24"/>
          <w:lang w:eastAsia="ru-RU"/>
        </w:rPr>
        <w:t xml:space="preserve">азработка проектно-сметной документации по </w:t>
      </w:r>
      <w:r>
        <w:rPr>
          <w:rFonts w:ascii="Times New Roman" w:eastAsia="Times New Roman" w:hAnsi="Times New Roman" w:cs="Times New Roman"/>
          <w:sz w:val="24"/>
          <w:szCs w:val="24"/>
          <w:lang w:eastAsia="ru-RU"/>
        </w:rPr>
        <w:t xml:space="preserve">реконструкции и строительству объектов в </w:t>
      </w:r>
      <w:r w:rsidRPr="001570A7">
        <w:rPr>
          <w:rFonts w:ascii="Times New Roman" w:eastAsia="Times New Roman" w:hAnsi="Times New Roman" w:cs="Times New Roman"/>
          <w:sz w:val="24"/>
          <w:szCs w:val="24"/>
          <w:lang w:eastAsia="ru-RU"/>
        </w:rPr>
        <w:t xml:space="preserve">рамках технологического присоединения энергопринимающих устройств ВТРК </w:t>
      </w:r>
      <w:r>
        <w:rPr>
          <w:rFonts w:ascii="Times New Roman" w:eastAsia="Times New Roman" w:hAnsi="Times New Roman" w:cs="Times New Roman"/>
          <w:sz w:val="24"/>
          <w:szCs w:val="24"/>
          <w:lang w:eastAsia="ru-RU"/>
        </w:rPr>
        <w:t>«</w:t>
      </w:r>
      <w:r w:rsidRPr="001570A7">
        <w:rPr>
          <w:rFonts w:ascii="Times New Roman" w:eastAsia="Times New Roman" w:hAnsi="Times New Roman" w:cs="Times New Roman"/>
          <w:sz w:val="24"/>
          <w:szCs w:val="24"/>
          <w:lang w:eastAsia="ru-RU"/>
        </w:rPr>
        <w:t>Ведучи</w:t>
      </w:r>
      <w:r>
        <w:rPr>
          <w:rFonts w:ascii="Times New Roman" w:eastAsia="Times New Roman" w:hAnsi="Times New Roman" w:cs="Times New Roman"/>
          <w:sz w:val="24"/>
          <w:szCs w:val="24"/>
          <w:lang w:eastAsia="ru-RU"/>
        </w:rPr>
        <w:t>»</w:t>
      </w:r>
      <w:r w:rsidRPr="001570A7">
        <w:rPr>
          <w:rFonts w:ascii="Times New Roman" w:eastAsia="Times New Roman" w:hAnsi="Times New Roman" w:cs="Times New Roman"/>
          <w:sz w:val="24"/>
          <w:szCs w:val="24"/>
          <w:lang w:eastAsia="ru-RU"/>
        </w:rPr>
        <w:t xml:space="preserve"> к элект</w:t>
      </w:r>
      <w:r>
        <w:rPr>
          <w:rFonts w:ascii="Times New Roman" w:eastAsia="Times New Roman" w:hAnsi="Times New Roman" w:cs="Times New Roman"/>
          <w:sz w:val="24"/>
          <w:szCs w:val="24"/>
          <w:lang w:eastAsia="ru-RU"/>
        </w:rPr>
        <w:t>рическим сетям Общества;</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реконструкция и строительство объектов в </w:t>
      </w:r>
      <w:r w:rsidRPr="001570A7">
        <w:rPr>
          <w:rFonts w:ascii="Times New Roman" w:eastAsia="Times New Roman" w:hAnsi="Times New Roman" w:cs="Times New Roman"/>
          <w:sz w:val="24"/>
          <w:szCs w:val="24"/>
          <w:lang w:eastAsia="ru-RU"/>
        </w:rPr>
        <w:t>рамках технологического присоединения энергопринимающих устройств</w:t>
      </w:r>
      <w:r>
        <w:rPr>
          <w:rFonts w:ascii="Times New Roman" w:eastAsia="Times New Roman" w:hAnsi="Times New Roman" w:cs="Times New Roman"/>
          <w:sz w:val="24"/>
          <w:szCs w:val="24"/>
          <w:lang w:eastAsia="ru-RU"/>
        </w:rPr>
        <w:t xml:space="preserve"> </w:t>
      </w:r>
      <w:r w:rsidRPr="00F446D4">
        <w:rPr>
          <w:rFonts w:ascii="Times New Roman" w:eastAsia="Times New Roman" w:hAnsi="Times New Roman" w:cs="Times New Roman"/>
          <w:sz w:val="24"/>
          <w:szCs w:val="24"/>
          <w:lang w:eastAsia="ru-RU"/>
        </w:rPr>
        <w:t>аэропорта Грозный</w:t>
      </w:r>
      <w:r>
        <w:rPr>
          <w:rFonts w:ascii="Times New Roman" w:eastAsia="Times New Roman" w:hAnsi="Times New Roman" w:cs="Times New Roman"/>
          <w:sz w:val="24"/>
          <w:szCs w:val="24"/>
          <w:lang w:eastAsia="ru-RU"/>
        </w:rPr>
        <w:t>;</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р</w:t>
      </w:r>
      <w:r w:rsidRPr="00F446D4">
        <w:rPr>
          <w:rFonts w:ascii="Times New Roman" w:eastAsia="Times New Roman" w:hAnsi="Times New Roman" w:cs="Times New Roman"/>
          <w:sz w:val="24"/>
          <w:szCs w:val="24"/>
          <w:lang w:eastAsia="ru-RU"/>
        </w:rPr>
        <w:t>еконструкция ВЛ 110 кВ ПС Ойсунгур - опора №82 (Л-128)</w:t>
      </w:r>
      <w:r>
        <w:rPr>
          <w:rFonts w:ascii="Times New Roman" w:eastAsia="Times New Roman" w:hAnsi="Times New Roman" w:cs="Times New Roman"/>
          <w:sz w:val="24"/>
          <w:szCs w:val="24"/>
          <w:lang w:eastAsia="ru-RU"/>
        </w:rPr>
        <w:t xml:space="preserve">. </w:t>
      </w:r>
      <w:r w:rsidRPr="00646C13">
        <w:rPr>
          <w:rFonts w:ascii="Times New Roman" w:eastAsia="Times New Roman" w:hAnsi="Times New Roman" w:cs="Times New Roman"/>
          <w:sz w:val="24"/>
          <w:szCs w:val="24"/>
          <w:lang w:eastAsia="ru-RU"/>
        </w:rPr>
        <w:t>Объект завершен 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и введен на основные фонды в объеме </w:t>
      </w:r>
      <w:r>
        <w:rPr>
          <w:rFonts w:ascii="Times New Roman" w:eastAsia="Times New Roman" w:hAnsi="Times New Roman" w:cs="Times New Roman"/>
          <w:sz w:val="24"/>
          <w:szCs w:val="24"/>
          <w:lang w:eastAsia="ru-RU"/>
        </w:rPr>
        <w:t>91,33</w:t>
      </w:r>
      <w:r w:rsidRPr="00646C13">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5,69</w:t>
      </w:r>
      <w:r w:rsidRPr="00646C13">
        <w:rPr>
          <w:rFonts w:ascii="Times New Roman" w:eastAsia="Times New Roman" w:hAnsi="Times New Roman" w:cs="Times New Roman"/>
          <w:sz w:val="24"/>
          <w:szCs w:val="24"/>
          <w:lang w:eastAsia="ru-RU"/>
        </w:rPr>
        <w:t xml:space="preserve"> км линий электропередачи</w:t>
      </w:r>
      <w:r>
        <w:rPr>
          <w:rFonts w:ascii="Times New Roman" w:eastAsia="Times New Roman" w:hAnsi="Times New Roman" w:cs="Times New Roman"/>
          <w:sz w:val="24"/>
          <w:szCs w:val="24"/>
          <w:lang w:eastAsia="ru-RU"/>
        </w:rPr>
        <w:t>.</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Кроме того, в</w:t>
      </w:r>
      <w:r w:rsidRPr="00646C13">
        <w:rPr>
          <w:rFonts w:ascii="Times New Roman" w:eastAsia="Times New Roman" w:hAnsi="Times New Roman" w:cs="Times New Roman"/>
          <w:sz w:val="24"/>
          <w:szCs w:val="24"/>
          <w:lang w:eastAsia="ru-RU"/>
        </w:rPr>
        <w:t xml:space="preserve"> числе приоритетны</w:t>
      </w:r>
      <w:r>
        <w:rPr>
          <w:rFonts w:ascii="Times New Roman" w:eastAsia="Times New Roman" w:hAnsi="Times New Roman" w:cs="Times New Roman"/>
          <w:sz w:val="24"/>
          <w:szCs w:val="24"/>
          <w:lang w:eastAsia="ru-RU"/>
        </w:rPr>
        <w:t>х</w:t>
      </w:r>
      <w:r w:rsidRPr="00646C13">
        <w:rPr>
          <w:rFonts w:ascii="Times New Roman" w:eastAsia="Times New Roman" w:hAnsi="Times New Roman" w:cs="Times New Roman"/>
          <w:sz w:val="24"/>
          <w:szCs w:val="24"/>
          <w:lang w:eastAsia="ru-RU"/>
        </w:rPr>
        <w:t xml:space="preserve"> объект</w:t>
      </w:r>
      <w:r>
        <w:rPr>
          <w:rFonts w:ascii="Times New Roman" w:eastAsia="Times New Roman" w:hAnsi="Times New Roman" w:cs="Times New Roman"/>
          <w:sz w:val="24"/>
          <w:szCs w:val="24"/>
          <w:lang w:eastAsia="ru-RU"/>
        </w:rPr>
        <w:t xml:space="preserve">ов, выполненных в 2023 году, следует выделить объекты, реализуемые </w:t>
      </w:r>
      <w:r w:rsidRPr="00646C13">
        <w:rPr>
          <w:rFonts w:ascii="Times New Roman" w:eastAsia="Times New Roman" w:hAnsi="Times New Roman" w:cs="Times New Roman"/>
          <w:sz w:val="24"/>
          <w:szCs w:val="24"/>
          <w:lang w:eastAsia="ru-RU"/>
        </w:rPr>
        <w:t xml:space="preserve">в рамках </w:t>
      </w:r>
      <w:r w:rsidRPr="00646C13">
        <w:rPr>
          <w:rFonts w:ascii="Times New Roman" w:eastAsia="Calibri" w:hAnsi="Times New Roman" w:cs="Times New Roman"/>
          <w:sz w:val="24"/>
          <w:szCs w:val="24"/>
        </w:rPr>
        <w:t xml:space="preserve">Плана (программы) снижения потерь электрической энергии в электрических сетях </w:t>
      </w:r>
      <w:r>
        <w:rPr>
          <w:rFonts w:ascii="Times New Roman" w:eastAsia="Calibri" w:hAnsi="Times New Roman" w:cs="Times New Roman"/>
          <w:sz w:val="24"/>
          <w:szCs w:val="24"/>
        </w:rPr>
        <w:t>Общества</w:t>
      </w:r>
      <w:r w:rsidRPr="00646C13">
        <w:rPr>
          <w:rFonts w:ascii="Times New Roman" w:eastAsia="Times New Roman" w:hAnsi="Times New Roman" w:cs="Times New Roman"/>
          <w:sz w:val="24"/>
          <w:szCs w:val="24"/>
          <w:lang w:eastAsia="ru-RU"/>
        </w:rPr>
        <w:t xml:space="preserve"> и Программы модернизации и повышения надежности электросетевого комплекса Чеченской Республики согласно Плану развития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5924AA">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232,849 км, ВЛ-10 кВ протяженностью 19,96 км, ТП 6(10)/0,4 кВ общей мощностью 14,133 МВА) в рамках </w:t>
      </w:r>
      <w:r>
        <w:rPr>
          <w:rFonts w:ascii="Times New Roman" w:eastAsia="Times New Roman" w:hAnsi="Times New Roman" w:cs="Times New Roman"/>
          <w:sz w:val="24"/>
          <w:szCs w:val="24"/>
          <w:lang w:eastAsia="ru-RU"/>
        </w:rPr>
        <w:t>«</w:t>
      </w:r>
      <w:r w:rsidRPr="005924AA">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Грозненских РЭС АО </w:t>
      </w:r>
      <w:r>
        <w:rPr>
          <w:rFonts w:ascii="Times New Roman" w:eastAsia="Times New Roman" w:hAnsi="Times New Roman" w:cs="Times New Roman"/>
          <w:sz w:val="24"/>
          <w:szCs w:val="24"/>
          <w:lang w:eastAsia="ru-RU"/>
        </w:rPr>
        <w:t>«</w:t>
      </w:r>
      <w:r w:rsidRPr="005924AA">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и введен на основные фонды в объеме </w:t>
      </w:r>
      <w:r>
        <w:rPr>
          <w:rFonts w:ascii="Times New Roman" w:eastAsia="Times New Roman" w:hAnsi="Times New Roman" w:cs="Times New Roman"/>
          <w:sz w:val="24"/>
          <w:szCs w:val="24"/>
          <w:lang w:eastAsia="ru-RU"/>
        </w:rPr>
        <w:t>158,85</w:t>
      </w:r>
      <w:r w:rsidRPr="00646C13">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130,96</w:t>
      </w:r>
      <w:r w:rsidRPr="00646C13">
        <w:rPr>
          <w:rFonts w:ascii="Times New Roman" w:eastAsia="Times New Roman" w:hAnsi="Times New Roman" w:cs="Times New Roman"/>
          <w:sz w:val="24"/>
          <w:szCs w:val="24"/>
          <w:lang w:eastAsia="ru-RU"/>
        </w:rPr>
        <w:t xml:space="preserve"> км линий электропередачи и </w:t>
      </w:r>
      <w:r>
        <w:rPr>
          <w:rFonts w:ascii="Times New Roman" w:eastAsia="Times New Roman" w:hAnsi="Times New Roman" w:cs="Times New Roman"/>
          <w:sz w:val="24"/>
          <w:szCs w:val="24"/>
          <w:lang w:eastAsia="ru-RU"/>
        </w:rPr>
        <w:t>7,28</w:t>
      </w:r>
      <w:r w:rsidRPr="00646C13">
        <w:rPr>
          <w:rFonts w:ascii="Times New Roman" w:eastAsia="Times New Roman" w:hAnsi="Times New Roman" w:cs="Times New Roman"/>
          <w:sz w:val="24"/>
          <w:szCs w:val="24"/>
          <w:lang w:eastAsia="ru-RU"/>
        </w:rPr>
        <w:t xml:space="preserve"> МВА;</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5924AA">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27,78 км, ВЛ-10 кВ протяженностью 34,311 км, ТП 6(10)/0,4 кВ общей мощностью 1,116 МВА) в рамках </w:t>
      </w:r>
      <w:r>
        <w:rPr>
          <w:rFonts w:ascii="Times New Roman" w:eastAsia="Times New Roman" w:hAnsi="Times New Roman" w:cs="Times New Roman"/>
          <w:sz w:val="24"/>
          <w:szCs w:val="24"/>
          <w:lang w:eastAsia="ru-RU"/>
        </w:rPr>
        <w:t>«</w:t>
      </w:r>
      <w:r w:rsidRPr="005924AA">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Итум-Калинских РЭС АО </w:t>
      </w:r>
      <w:r>
        <w:rPr>
          <w:rFonts w:ascii="Times New Roman" w:eastAsia="Times New Roman" w:hAnsi="Times New Roman" w:cs="Times New Roman"/>
          <w:sz w:val="24"/>
          <w:szCs w:val="24"/>
          <w:lang w:eastAsia="ru-RU"/>
        </w:rPr>
        <w:t>«</w:t>
      </w:r>
      <w:r w:rsidRPr="005924AA">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и введен на основные фонды в объеме </w:t>
      </w:r>
      <w:r>
        <w:rPr>
          <w:rFonts w:ascii="Times New Roman" w:eastAsia="Times New Roman" w:hAnsi="Times New Roman" w:cs="Times New Roman"/>
          <w:sz w:val="24"/>
          <w:szCs w:val="24"/>
          <w:lang w:eastAsia="ru-RU"/>
        </w:rPr>
        <w:t>43,78</w:t>
      </w:r>
      <w:r w:rsidRPr="00646C13">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31,72</w:t>
      </w:r>
      <w:r w:rsidRPr="00646C13">
        <w:rPr>
          <w:rFonts w:ascii="Times New Roman" w:eastAsia="Times New Roman" w:hAnsi="Times New Roman" w:cs="Times New Roman"/>
          <w:sz w:val="24"/>
          <w:szCs w:val="24"/>
          <w:lang w:eastAsia="ru-RU"/>
        </w:rPr>
        <w:t xml:space="preserve"> км линий электропередачи и </w:t>
      </w:r>
      <w:r>
        <w:rPr>
          <w:rFonts w:ascii="Times New Roman" w:eastAsia="Times New Roman" w:hAnsi="Times New Roman" w:cs="Times New Roman"/>
          <w:sz w:val="24"/>
          <w:szCs w:val="24"/>
          <w:lang w:eastAsia="ru-RU"/>
        </w:rPr>
        <w:t>1,12</w:t>
      </w:r>
      <w:r w:rsidRPr="00646C13">
        <w:rPr>
          <w:rFonts w:ascii="Times New Roman" w:eastAsia="Times New Roman" w:hAnsi="Times New Roman" w:cs="Times New Roman"/>
          <w:sz w:val="24"/>
          <w:szCs w:val="24"/>
          <w:lang w:eastAsia="ru-RU"/>
        </w:rPr>
        <w:t xml:space="preserve"> МВА;</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927579">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121,812 км, ВЛ-10 кВ протяженностью 4,417 км, ТП 6(10)/0,4 кВ общей мощностью 8,86 МВА) в рамках </w:t>
      </w:r>
      <w:r>
        <w:rPr>
          <w:rFonts w:ascii="Times New Roman" w:eastAsia="Times New Roman" w:hAnsi="Times New Roman" w:cs="Times New Roman"/>
          <w:sz w:val="24"/>
          <w:szCs w:val="24"/>
          <w:lang w:eastAsia="ru-RU"/>
        </w:rPr>
        <w:t>«</w:t>
      </w:r>
      <w:r w:rsidRPr="00927579">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Шалинских РЭС АО </w:t>
      </w:r>
      <w:r>
        <w:rPr>
          <w:rFonts w:ascii="Times New Roman" w:eastAsia="Times New Roman" w:hAnsi="Times New Roman" w:cs="Times New Roman"/>
          <w:sz w:val="24"/>
          <w:szCs w:val="24"/>
          <w:lang w:eastAsia="ru-RU"/>
        </w:rPr>
        <w:t>«</w:t>
      </w:r>
      <w:r w:rsidRPr="00927579">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и введен на основные фонды в объеме </w:t>
      </w:r>
      <w:r>
        <w:rPr>
          <w:rFonts w:ascii="Times New Roman" w:eastAsia="Times New Roman" w:hAnsi="Times New Roman" w:cs="Times New Roman"/>
          <w:sz w:val="24"/>
          <w:szCs w:val="24"/>
          <w:lang w:eastAsia="ru-RU"/>
        </w:rPr>
        <w:t>119,65</w:t>
      </w:r>
      <w:r w:rsidRPr="00646C13">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107,18</w:t>
      </w:r>
      <w:r w:rsidRPr="00646C13">
        <w:rPr>
          <w:rFonts w:ascii="Times New Roman" w:eastAsia="Times New Roman" w:hAnsi="Times New Roman" w:cs="Times New Roman"/>
          <w:sz w:val="24"/>
          <w:szCs w:val="24"/>
          <w:lang w:eastAsia="ru-RU"/>
        </w:rPr>
        <w:t xml:space="preserve"> км линий электропередачи и 5,</w:t>
      </w:r>
      <w:r>
        <w:rPr>
          <w:rFonts w:ascii="Times New Roman" w:eastAsia="Times New Roman" w:hAnsi="Times New Roman" w:cs="Times New Roman"/>
          <w:sz w:val="24"/>
          <w:szCs w:val="24"/>
          <w:lang w:eastAsia="ru-RU"/>
        </w:rPr>
        <w:t>16</w:t>
      </w:r>
      <w:r w:rsidRPr="00646C13">
        <w:rPr>
          <w:rFonts w:ascii="Times New Roman" w:eastAsia="Times New Roman" w:hAnsi="Times New Roman" w:cs="Times New Roman"/>
          <w:sz w:val="24"/>
          <w:szCs w:val="24"/>
          <w:lang w:eastAsia="ru-RU"/>
        </w:rPr>
        <w:t xml:space="preserve"> МВА;</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w:t>
      </w: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с</w:t>
      </w:r>
      <w:r w:rsidRPr="00927579">
        <w:rPr>
          <w:rFonts w:ascii="Times New Roman" w:eastAsia="Times New Roman" w:hAnsi="Times New Roman" w:cs="Times New Roman"/>
          <w:sz w:val="24"/>
          <w:szCs w:val="24"/>
          <w:lang w:eastAsia="ru-RU"/>
        </w:rPr>
        <w:t xml:space="preserve">троительство и реконструкция сети 10-0,4 кВ (ВЛ 0,4 кВ протяженностью 33,36 км, ВЛ-10 кВ протяженностью 18,05 км, ТП 6(10)/0,4 кВ общей мощностью 0,61 МВА) в рамках </w:t>
      </w:r>
      <w:r>
        <w:rPr>
          <w:rFonts w:ascii="Times New Roman" w:eastAsia="Times New Roman" w:hAnsi="Times New Roman" w:cs="Times New Roman"/>
          <w:sz w:val="24"/>
          <w:szCs w:val="24"/>
          <w:lang w:eastAsia="ru-RU"/>
        </w:rPr>
        <w:t>«</w:t>
      </w:r>
      <w:r w:rsidRPr="00927579">
        <w:rPr>
          <w:rFonts w:ascii="Times New Roman" w:eastAsia="Times New Roman" w:hAnsi="Times New Roman" w:cs="Times New Roman"/>
          <w:sz w:val="24"/>
          <w:szCs w:val="24"/>
          <w:lang w:eastAsia="ru-RU"/>
        </w:rPr>
        <w:t xml:space="preserve">Плана (программы) снижения потерь электрической энергии в электрических сетях Шатойских РЭС АО </w:t>
      </w:r>
      <w:r>
        <w:rPr>
          <w:rFonts w:ascii="Times New Roman" w:eastAsia="Times New Roman" w:hAnsi="Times New Roman" w:cs="Times New Roman"/>
          <w:sz w:val="24"/>
          <w:szCs w:val="24"/>
          <w:lang w:eastAsia="ru-RU"/>
        </w:rPr>
        <w:t>«</w:t>
      </w:r>
      <w:r w:rsidRPr="00927579">
        <w:rPr>
          <w:rFonts w:ascii="Times New Roman" w:eastAsia="Times New Roman" w:hAnsi="Times New Roman" w:cs="Times New Roman"/>
          <w:sz w:val="24"/>
          <w:szCs w:val="24"/>
          <w:lang w:eastAsia="ru-RU"/>
        </w:rPr>
        <w:t>Чеченэнерго</w:t>
      </w:r>
      <w:r>
        <w:rPr>
          <w:rFonts w:ascii="Times New Roman" w:eastAsia="Times New Roman" w:hAnsi="Times New Roman" w:cs="Times New Roman"/>
          <w:sz w:val="24"/>
          <w:szCs w:val="24"/>
          <w:lang w:eastAsia="ru-RU"/>
        </w:rPr>
        <w:t>»</w:t>
      </w:r>
      <w:r w:rsidRPr="00646C13">
        <w:rPr>
          <w:rFonts w:ascii="Times New Roman" w:eastAsia="Times New Roman" w:hAnsi="Times New Roman" w:cs="Times New Roman"/>
          <w:sz w:val="24"/>
          <w:szCs w:val="24"/>
          <w:lang w:eastAsia="ru-RU"/>
        </w:rPr>
        <w:t>. Объект завершен в 202</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 xml:space="preserve"> году и введен на основные фонды в объеме </w:t>
      </w:r>
      <w:r>
        <w:rPr>
          <w:rFonts w:ascii="Times New Roman" w:eastAsia="Times New Roman" w:hAnsi="Times New Roman" w:cs="Times New Roman"/>
          <w:sz w:val="24"/>
          <w:szCs w:val="24"/>
          <w:lang w:eastAsia="ru-RU"/>
        </w:rPr>
        <w:t>20,58</w:t>
      </w:r>
      <w:r w:rsidRPr="00646C13">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14,30</w:t>
      </w:r>
      <w:r w:rsidRPr="00646C13">
        <w:rPr>
          <w:rFonts w:ascii="Times New Roman" w:eastAsia="Times New Roman" w:hAnsi="Times New Roman" w:cs="Times New Roman"/>
          <w:sz w:val="24"/>
          <w:szCs w:val="24"/>
          <w:lang w:eastAsia="ru-RU"/>
        </w:rPr>
        <w:t xml:space="preserve"> км линий электропередачи и </w:t>
      </w:r>
      <w:r>
        <w:rPr>
          <w:rFonts w:ascii="Times New Roman" w:eastAsia="Times New Roman" w:hAnsi="Times New Roman" w:cs="Times New Roman"/>
          <w:sz w:val="24"/>
          <w:szCs w:val="24"/>
          <w:lang w:eastAsia="ru-RU"/>
        </w:rPr>
        <w:t>0,45</w:t>
      </w:r>
      <w:r w:rsidRPr="00646C13">
        <w:rPr>
          <w:rFonts w:ascii="Times New Roman" w:eastAsia="Times New Roman" w:hAnsi="Times New Roman" w:cs="Times New Roman"/>
          <w:sz w:val="24"/>
          <w:szCs w:val="24"/>
          <w:lang w:eastAsia="ru-RU"/>
        </w:rPr>
        <w:t xml:space="preserve"> МВА;</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w:t>
      </w:r>
      <w:r w:rsidRPr="00646C13">
        <w:rPr>
          <w:rFonts w:ascii="Times New Roman" w:eastAsia="Times New Roman" w:hAnsi="Times New Roman" w:cs="Times New Roman"/>
          <w:sz w:val="24"/>
          <w:szCs w:val="24"/>
          <w:lang w:eastAsia="ru-RU"/>
        </w:rPr>
        <w:t>рограмм</w:t>
      </w:r>
      <w:r>
        <w:rPr>
          <w:rFonts w:ascii="Times New Roman" w:eastAsia="Times New Roman" w:hAnsi="Times New Roman" w:cs="Times New Roman"/>
          <w:sz w:val="24"/>
          <w:szCs w:val="24"/>
          <w:lang w:eastAsia="ru-RU"/>
        </w:rPr>
        <w:t>а</w:t>
      </w:r>
      <w:r w:rsidRPr="00646C13">
        <w:rPr>
          <w:rFonts w:ascii="Times New Roman" w:eastAsia="Times New Roman" w:hAnsi="Times New Roman" w:cs="Times New Roman"/>
          <w:sz w:val="24"/>
          <w:szCs w:val="24"/>
          <w:lang w:eastAsia="ru-RU"/>
        </w:rPr>
        <w:t xml:space="preserve"> модернизации и повышения надежности электросетевого комплекса Чеченской Республики. В 2023 году в полном объеме завершен</w:t>
      </w:r>
      <w:r>
        <w:rPr>
          <w:rFonts w:ascii="Times New Roman" w:eastAsia="Times New Roman" w:hAnsi="Times New Roman" w:cs="Times New Roman"/>
          <w:sz w:val="24"/>
          <w:szCs w:val="24"/>
          <w:lang w:eastAsia="ru-RU"/>
        </w:rPr>
        <w:t>а</w:t>
      </w:r>
      <w:r w:rsidRPr="00646C13">
        <w:rPr>
          <w:rFonts w:ascii="Times New Roman" w:eastAsia="Times New Roman" w:hAnsi="Times New Roman" w:cs="Times New Roman"/>
          <w:sz w:val="24"/>
          <w:szCs w:val="24"/>
          <w:lang w:eastAsia="ru-RU"/>
        </w:rPr>
        <w:t xml:space="preserve"> разработк</w:t>
      </w:r>
      <w:r>
        <w:rPr>
          <w:rFonts w:ascii="Times New Roman" w:eastAsia="Times New Roman" w:hAnsi="Times New Roman" w:cs="Times New Roman"/>
          <w:sz w:val="24"/>
          <w:szCs w:val="24"/>
          <w:lang w:eastAsia="ru-RU"/>
        </w:rPr>
        <w:t>а</w:t>
      </w:r>
      <w:r w:rsidRPr="00646C13">
        <w:rPr>
          <w:rFonts w:ascii="Times New Roman" w:eastAsia="Times New Roman" w:hAnsi="Times New Roman" w:cs="Times New Roman"/>
          <w:sz w:val="24"/>
          <w:szCs w:val="24"/>
          <w:lang w:eastAsia="ru-RU"/>
        </w:rPr>
        <w:t xml:space="preserve"> проектно-сметной документации </w:t>
      </w:r>
      <w:r>
        <w:rPr>
          <w:rFonts w:ascii="Times New Roman" w:eastAsia="Times New Roman" w:hAnsi="Times New Roman" w:cs="Times New Roman"/>
          <w:sz w:val="24"/>
          <w:szCs w:val="24"/>
          <w:lang w:eastAsia="ru-RU"/>
        </w:rPr>
        <w:t xml:space="preserve">по объектам этой Программы </w:t>
      </w:r>
      <w:r w:rsidRPr="00646C13">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sz w:val="24"/>
          <w:szCs w:val="24"/>
          <w:lang w:eastAsia="ru-RU"/>
        </w:rPr>
        <w:t>начаты строительно-монтажные работы.</w:t>
      </w:r>
    </w:p>
    <w:p w:rsidR="00A924F1" w:rsidRPr="00646C13"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A924F1" w:rsidRPr="005B29AF"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5B29AF">
        <w:rPr>
          <w:rFonts w:ascii="Times New Roman" w:eastAsia="Times New Roman" w:hAnsi="Times New Roman" w:cs="Times New Roman"/>
          <w:b/>
          <w:sz w:val="24"/>
          <w:szCs w:val="24"/>
          <w:lang w:eastAsia="ru-RU"/>
        </w:rPr>
        <w:t>Структура финансирования капитальных вложений, млн руб. с НДС</w:t>
      </w:r>
    </w:p>
    <w:tbl>
      <w:tblPr>
        <w:tblW w:w="5109"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5"/>
        <w:gridCol w:w="1211"/>
        <w:gridCol w:w="1108"/>
        <w:gridCol w:w="1104"/>
      </w:tblGrid>
      <w:tr w:rsidR="00A924F1" w:rsidRPr="007621CE" w:rsidTr="00A924F1">
        <w:trPr>
          <w:trHeight w:val="137"/>
        </w:trPr>
        <w:tc>
          <w:tcPr>
            <w:tcW w:w="3207" w:type="pct"/>
            <w:noWrap/>
            <w:vAlign w:val="center"/>
            <w:hideMark/>
          </w:tcPr>
          <w:p w:rsidR="00A924F1" w:rsidRPr="007621CE" w:rsidRDefault="00A924F1" w:rsidP="00A924F1">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Наименование</w:t>
            </w:r>
          </w:p>
        </w:tc>
        <w:tc>
          <w:tcPr>
            <w:tcW w:w="634" w:type="pct"/>
            <w:noWrap/>
            <w:vAlign w:val="center"/>
          </w:tcPr>
          <w:p w:rsidR="00A924F1" w:rsidRPr="007621CE" w:rsidRDefault="00A924F1" w:rsidP="00A924F1">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2021</w:t>
            </w:r>
          </w:p>
        </w:tc>
        <w:tc>
          <w:tcPr>
            <w:tcW w:w="580" w:type="pct"/>
            <w:vAlign w:val="center"/>
            <w:hideMark/>
          </w:tcPr>
          <w:p w:rsidR="00A924F1" w:rsidRPr="007621CE" w:rsidRDefault="00A924F1" w:rsidP="00A924F1">
            <w:pPr>
              <w:tabs>
                <w:tab w:val="left" w:pos="9356"/>
              </w:tabs>
              <w:spacing w:after="0" w:line="240" w:lineRule="auto"/>
              <w:jc w:val="center"/>
              <w:rPr>
                <w:rFonts w:ascii="Times New Roman" w:eastAsia="Times New Roman" w:hAnsi="Times New Roman" w:cs="Times New Roman"/>
                <w:b/>
                <w:sz w:val="20"/>
                <w:szCs w:val="20"/>
                <w:lang w:eastAsia="ru-RU"/>
              </w:rPr>
            </w:pPr>
            <w:r w:rsidRPr="007621CE">
              <w:rPr>
                <w:rFonts w:ascii="Times New Roman" w:eastAsia="Times New Roman" w:hAnsi="Times New Roman" w:cs="Times New Roman"/>
                <w:b/>
                <w:sz w:val="20"/>
                <w:szCs w:val="20"/>
                <w:lang w:eastAsia="ru-RU"/>
              </w:rPr>
              <w:t>2022</w:t>
            </w:r>
          </w:p>
        </w:tc>
        <w:tc>
          <w:tcPr>
            <w:tcW w:w="578" w:type="pct"/>
            <w:vAlign w:val="center"/>
          </w:tcPr>
          <w:p w:rsidR="00A924F1" w:rsidRPr="007621CE" w:rsidRDefault="00A924F1" w:rsidP="00A924F1">
            <w:pPr>
              <w:tabs>
                <w:tab w:val="left" w:pos="9356"/>
              </w:tabs>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2023</w:t>
            </w:r>
          </w:p>
        </w:tc>
      </w:tr>
      <w:tr w:rsidR="00A924F1" w:rsidRPr="007621CE" w:rsidTr="00A924F1">
        <w:trPr>
          <w:trHeight w:val="137"/>
        </w:trPr>
        <w:tc>
          <w:tcPr>
            <w:tcW w:w="3207" w:type="pct"/>
            <w:noWrap/>
            <w:vAlign w:val="bottom"/>
            <w:hideMark/>
          </w:tcPr>
          <w:p w:rsidR="00A924F1" w:rsidRPr="007621CE" w:rsidRDefault="00A924F1" w:rsidP="00A924F1">
            <w:pPr>
              <w:tabs>
                <w:tab w:val="left" w:pos="9356"/>
              </w:tabs>
              <w:spacing w:after="0" w:line="240" w:lineRule="auto"/>
              <w:rPr>
                <w:rFonts w:ascii="Times New Roman" w:eastAsia="Times New Roman" w:hAnsi="Times New Roman" w:cs="Times New Roman"/>
                <w:b/>
                <w:bCs/>
                <w:color w:val="000000"/>
                <w:sz w:val="20"/>
                <w:szCs w:val="20"/>
                <w:lang w:val="en-US" w:eastAsia="ru-RU"/>
              </w:rPr>
            </w:pPr>
            <w:r w:rsidRPr="007621CE">
              <w:rPr>
                <w:rFonts w:ascii="Times New Roman" w:eastAsia="Times New Roman" w:hAnsi="Times New Roman" w:cs="Times New Roman"/>
                <w:b/>
                <w:bCs/>
                <w:color w:val="000000"/>
                <w:sz w:val="20"/>
                <w:szCs w:val="20"/>
                <w:lang w:eastAsia="ru-RU"/>
              </w:rPr>
              <w:t>Итого:</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2 284,75</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2 455,99</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3 974,76</w:t>
            </w:r>
          </w:p>
        </w:tc>
      </w:tr>
      <w:tr w:rsidR="00A924F1" w:rsidRPr="007621CE" w:rsidTr="00A924F1">
        <w:trPr>
          <w:trHeight w:val="135"/>
        </w:trPr>
        <w:tc>
          <w:tcPr>
            <w:tcW w:w="3207" w:type="pct"/>
            <w:noWrap/>
            <w:vAlign w:val="bottom"/>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Технологическое присоединение</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224,70</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82,91</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488,82</w:t>
            </w:r>
          </w:p>
        </w:tc>
      </w:tr>
      <w:tr w:rsidR="00A924F1" w:rsidRPr="007621CE" w:rsidTr="00A924F1">
        <w:trPr>
          <w:trHeight w:val="137"/>
        </w:trPr>
        <w:tc>
          <w:tcPr>
            <w:tcW w:w="3207" w:type="pct"/>
            <w:noWrap/>
            <w:vAlign w:val="bottom"/>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Реконструкция, модернизация, техническое перевооружение</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339,14</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273,67</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588,05</w:t>
            </w:r>
          </w:p>
        </w:tc>
      </w:tr>
      <w:tr w:rsidR="00A924F1" w:rsidRPr="007621CE" w:rsidTr="00A924F1">
        <w:trPr>
          <w:trHeight w:val="137"/>
        </w:trPr>
        <w:tc>
          <w:tcPr>
            <w:tcW w:w="3207" w:type="pct"/>
            <w:noWrap/>
            <w:vAlign w:val="bottom"/>
            <w:hideMark/>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Инвестиционные проекты, реализация которых обуславливается схемами и программами перспективного развития электроэнергетики</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0,00</w:t>
            </w:r>
          </w:p>
        </w:tc>
      </w:tr>
      <w:tr w:rsidR="00A924F1" w:rsidRPr="007621CE" w:rsidTr="00A924F1">
        <w:trPr>
          <w:trHeight w:val="137"/>
        </w:trPr>
        <w:tc>
          <w:tcPr>
            <w:tcW w:w="3207" w:type="pct"/>
            <w:noWrap/>
            <w:vAlign w:val="bottom"/>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Прочее новое строительство объектов электросетевого хозяйства</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666,82</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539,60</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489,38</w:t>
            </w:r>
          </w:p>
        </w:tc>
      </w:tr>
      <w:tr w:rsidR="00A924F1" w:rsidRPr="007621CE" w:rsidTr="00A924F1">
        <w:trPr>
          <w:trHeight w:val="137"/>
        </w:trPr>
        <w:tc>
          <w:tcPr>
            <w:tcW w:w="3207" w:type="pct"/>
            <w:noWrap/>
            <w:vAlign w:val="bottom"/>
            <w:hideMark/>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Покупка земельных участков для целей реализации инвестиционных проектов</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0,00</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0,00</w:t>
            </w:r>
          </w:p>
        </w:tc>
      </w:tr>
      <w:tr w:rsidR="00A924F1" w:rsidRPr="007621CE" w:rsidTr="00A924F1">
        <w:trPr>
          <w:trHeight w:val="137"/>
        </w:trPr>
        <w:tc>
          <w:tcPr>
            <w:tcW w:w="3207" w:type="pct"/>
            <w:noWrap/>
            <w:vAlign w:val="bottom"/>
            <w:hideMark/>
          </w:tcPr>
          <w:p w:rsidR="00A924F1" w:rsidRPr="007621CE" w:rsidRDefault="00A924F1" w:rsidP="00A924F1">
            <w:pPr>
              <w:tabs>
                <w:tab w:val="left" w:pos="9356"/>
              </w:tabs>
              <w:spacing w:after="0" w:line="240" w:lineRule="auto"/>
              <w:rPr>
                <w:rFonts w:ascii="Times New Roman" w:eastAsia="Times New Roman" w:hAnsi="Times New Roman" w:cs="Times New Roman"/>
                <w:color w:val="000000"/>
                <w:sz w:val="20"/>
                <w:szCs w:val="20"/>
                <w:lang w:eastAsia="ru-RU"/>
              </w:rPr>
            </w:pPr>
            <w:r w:rsidRPr="007621CE">
              <w:rPr>
                <w:rFonts w:ascii="Times New Roman" w:eastAsia="Times New Roman" w:hAnsi="Times New Roman" w:cs="Times New Roman"/>
                <w:color w:val="000000"/>
                <w:sz w:val="20"/>
                <w:szCs w:val="20"/>
                <w:lang w:eastAsia="ru-RU"/>
              </w:rPr>
              <w:t>Прочие инвестиционные проекты</w:t>
            </w:r>
          </w:p>
        </w:tc>
        <w:tc>
          <w:tcPr>
            <w:tcW w:w="634" w:type="pct"/>
            <w:noWrap/>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1 054,09</w:t>
            </w:r>
          </w:p>
        </w:tc>
        <w:tc>
          <w:tcPr>
            <w:tcW w:w="580"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sidRPr="007621CE">
              <w:rPr>
                <w:rFonts w:ascii="Times New Roman" w:hAnsi="Times New Roman" w:cs="Times New Roman"/>
                <w:bCs/>
                <w:sz w:val="20"/>
                <w:szCs w:val="20"/>
              </w:rPr>
              <w:t>1 559,82</w:t>
            </w:r>
          </w:p>
        </w:tc>
        <w:tc>
          <w:tcPr>
            <w:tcW w:w="578" w:type="pct"/>
            <w:vAlign w:val="center"/>
          </w:tcPr>
          <w:p w:rsidR="00A924F1" w:rsidRPr="007621CE" w:rsidRDefault="00A924F1" w:rsidP="00A924F1">
            <w:pPr>
              <w:spacing w:after="0" w:line="240" w:lineRule="auto"/>
              <w:jc w:val="center"/>
              <w:rPr>
                <w:rFonts w:ascii="Times New Roman" w:eastAsia="Calibri" w:hAnsi="Times New Roman" w:cs="Times New Roman"/>
                <w:bCs/>
                <w:sz w:val="20"/>
                <w:szCs w:val="20"/>
              </w:rPr>
            </w:pPr>
            <w:r>
              <w:rPr>
                <w:rFonts w:ascii="Times New Roman" w:eastAsia="Calibri" w:hAnsi="Times New Roman" w:cs="Times New Roman"/>
                <w:bCs/>
                <w:sz w:val="20"/>
                <w:szCs w:val="20"/>
              </w:rPr>
              <w:t>2 408,52</w:t>
            </w:r>
          </w:p>
        </w:tc>
      </w:tr>
    </w:tbl>
    <w:p w:rsidR="00A924F1" w:rsidRPr="005B29AF"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A924F1" w:rsidRPr="00646C13"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5B29AF">
        <w:rPr>
          <w:rFonts w:ascii="Times New Roman" w:eastAsia="Times New Roman" w:hAnsi="Times New Roman" w:cs="Times New Roman"/>
          <w:b/>
          <w:sz w:val="24"/>
          <w:szCs w:val="24"/>
          <w:lang w:eastAsia="ru-RU"/>
        </w:rPr>
        <w:t>Структура финансирования АО</w:t>
      </w:r>
      <w:r>
        <w:rPr>
          <w:rFonts w:ascii="Times New Roman" w:eastAsia="Times New Roman" w:hAnsi="Times New Roman" w:cs="Times New Roman"/>
          <w:b/>
          <w:sz w:val="24"/>
          <w:szCs w:val="24"/>
          <w:lang w:eastAsia="ru-RU"/>
        </w:rPr>
        <w:t xml:space="preserve"> «Чеченэнерго» за 2023 год, в %</w:t>
      </w:r>
    </w:p>
    <w:p w:rsidR="00A924F1" w:rsidRPr="00646C13"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noProof/>
          <w:sz w:val="24"/>
          <w:lang w:eastAsia="ru-RU"/>
        </w:rPr>
        <w:drawing>
          <wp:inline distT="0" distB="0" distL="0" distR="0" wp14:anchorId="49543C19" wp14:editId="0411EC66">
            <wp:extent cx="5454015" cy="1155801"/>
            <wp:effectExtent l="0" t="0" r="0" b="635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A924F1" w:rsidRPr="00646C13"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p>
    <w:p w:rsidR="00A924F1" w:rsidRPr="00646C13" w:rsidRDefault="00A924F1" w:rsidP="00A924F1">
      <w:pPr>
        <w:tabs>
          <w:tab w:val="left" w:pos="9356"/>
        </w:tabs>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Структура финансирования капитальных вложений в 202</w:t>
      </w:r>
      <w:r>
        <w:rPr>
          <w:rFonts w:ascii="Times New Roman" w:eastAsia="Times New Roman" w:hAnsi="Times New Roman" w:cs="Times New Roman"/>
          <w:b/>
          <w:sz w:val="24"/>
          <w:szCs w:val="24"/>
          <w:lang w:eastAsia="ru-RU"/>
        </w:rPr>
        <w:t>3</w:t>
      </w:r>
      <w:r w:rsidRPr="00646C13">
        <w:rPr>
          <w:rFonts w:ascii="Times New Roman" w:eastAsia="Times New Roman" w:hAnsi="Times New Roman" w:cs="Times New Roman"/>
          <w:b/>
          <w:sz w:val="24"/>
          <w:szCs w:val="24"/>
          <w:lang w:eastAsia="ru-RU"/>
        </w:rPr>
        <w:t xml:space="preserve"> году</w:t>
      </w:r>
    </w:p>
    <w:p w:rsidR="00A924F1" w:rsidRDefault="00A924F1" w:rsidP="00A924F1">
      <w:pPr>
        <w:tabs>
          <w:tab w:val="left" w:pos="9356"/>
        </w:tabs>
        <w:autoSpaceDE w:val="0"/>
        <w:autoSpaceDN w:val="0"/>
        <w:adjustRightInd w:val="0"/>
        <w:spacing w:after="0" w:line="240" w:lineRule="auto"/>
        <w:rPr>
          <w:rFonts w:ascii="Times New Roman" w:eastAsia="Times New Roman" w:hAnsi="Times New Roman" w:cs="Times New Roman"/>
          <w:b/>
          <w:sz w:val="24"/>
          <w:szCs w:val="24"/>
          <w:lang w:eastAsia="ru-RU"/>
        </w:rPr>
      </w:pPr>
      <w:r>
        <w:rPr>
          <w:rFonts w:ascii="Times New Roman" w:hAnsi="Times New Roman" w:cs="Times New Roman"/>
          <w:b/>
          <w:noProof/>
          <w:sz w:val="28"/>
          <w:szCs w:val="28"/>
          <w:lang w:eastAsia="ru-RU"/>
        </w:rPr>
        <w:drawing>
          <wp:inline distT="0" distB="0" distL="0" distR="0" wp14:anchorId="6BE65E0C" wp14:editId="3DE5A31D">
            <wp:extent cx="2838297" cy="1382573"/>
            <wp:effectExtent l="0" t="0" r="635" b="8255"/>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AF3220">
        <w:rPr>
          <w:rFonts w:ascii="Times New Roman" w:hAnsi="Times New Roman" w:cs="Times New Roman"/>
          <w:b/>
          <w:noProof/>
          <w:sz w:val="28"/>
          <w:szCs w:val="28"/>
          <w:lang w:eastAsia="ru-RU"/>
        </w:rPr>
        <w:drawing>
          <wp:inline distT="0" distB="0" distL="0" distR="0" wp14:anchorId="09FD0A85" wp14:editId="2270EC94">
            <wp:extent cx="2560320" cy="1404518"/>
            <wp:effectExtent l="0" t="0" r="0" b="5715"/>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AF3220">
        <w:rPr>
          <w:rFonts w:ascii="Times New Roman" w:hAnsi="Times New Roman" w:cs="Times New Roman"/>
          <w:b/>
          <w:noProof/>
          <w:sz w:val="28"/>
          <w:szCs w:val="28"/>
          <w:lang w:eastAsia="ru-RU"/>
        </w:rPr>
        <w:drawing>
          <wp:inline distT="0" distB="0" distL="0" distR="0" wp14:anchorId="6A682685" wp14:editId="389ABD92">
            <wp:extent cx="6377940" cy="839470"/>
            <wp:effectExtent l="0" t="0" r="3810" b="1778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924F1" w:rsidRDefault="00A924F1" w:rsidP="00A924F1">
      <w:pPr>
        <w:tabs>
          <w:tab w:val="left" w:pos="3110"/>
        </w:tabs>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ab/>
      </w:r>
    </w:p>
    <w:p w:rsidR="00A924F1" w:rsidRPr="008F225E"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Объем финансирования </w:t>
      </w:r>
      <w:r w:rsidR="00DA13FD">
        <w:rPr>
          <w:rFonts w:ascii="Times New Roman" w:eastAsia="Times New Roman" w:hAnsi="Times New Roman" w:cs="Times New Roman"/>
          <w:sz w:val="24"/>
          <w:szCs w:val="24"/>
          <w:lang w:eastAsia="ru-RU"/>
        </w:rPr>
        <w:t>Общества</w:t>
      </w:r>
      <w:r w:rsidRPr="008F225E">
        <w:rPr>
          <w:rFonts w:ascii="Times New Roman" w:eastAsia="Times New Roman" w:hAnsi="Times New Roman" w:cs="Times New Roman"/>
          <w:sz w:val="24"/>
          <w:szCs w:val="24"/>
          <w:lang w:eastAsia="ru-RU"/>
        </w:rPr>
        <w:t xml:space="preserve"> 202</w:t>
      </w:r>
      <w:r>
        <w:rPr>
          <w:rFonts w:ascii="Times New Roman" w:eastAsia="Times New Roman" w:hAnsi="Times New Roman" w:cs="Times New Roman"/>
          <w:sz w:val="24"/>
          <w:szCs w:val="24"/>
          <w:lang w:eastAsia="ru-RU"/>
        </w:rPr>
        <w:t>3</w:t>
      </w:r>
      <w:r w:rsidRPr="008F225E">
        <w:rPr>
          <w:rFonts w:ascii="Times New Roman" w:eastAsia="Times New Roman" w:hAnsi="Times New Roman" w:cs="Times New Roman"/>
          <w:sz w:val="24"/>
          <w:szCs w:val="24"/>
          <w:lang w:eastAsia="ru-RU"/>
        </w:rPr>
        <w:t xml:space="preserve"> года составил </w:t>
      </w:r>
      <w:r>
        <w:rPr>
          <w:rFonts w:ascii="Times New Roman" w:eastAsia="Times New Roman" w:hAnsi="Times New Roman" w:cs="Times New Roman"/>
          <w:sz w:val="24"/>
          <w:szCs w:val="24"/>
          <w:lang w:eastAsia="ru-RU"/>
        </w:rPr>
        <w:t>3 974,76</w:t>
      </w:r>
      <w:r w:rsidRPr="008F225E">
        <w:rPr>
          <w:rFonts w:ascii="Times New Roman" w:eastAsia="Times New Roman" w:hAnsi="Times New Roman" w:cs="Times New Roman"/>
          <w:sz w:val="24"/>
          <w:szCs w:val="24"/>
          <w:lang w:eastAsia="ru-RU"/>
        </w:rPr>
        <w:t xml:space="preserve"> млн руб. с НДС. Финансирование осуществлялось за счет:</w:t>
      </w:r>
    </w:p>
    <w:p w:rsidR="00A924F1" w:rsidRPr="008F225E" w:rsidRDefault="00A924F1" w:rsidP="006148A8">
      <w:pPr>
        <w:numPr>
          <w:ilvl w:val="0"/>
          <w:numId w:val="9"/>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собственных средств в объеме </w:t>
      </w:r>
      <w:r>
        <w:rPr>
          <w:rFonts w:ascii="Times New Roman" w:eastAsia="Times New Roman" w:hAnsi="Times New Roman" w:cs="Times New Roman"/>
          <w:sz w:val="24"/>
          <w:szCs w:val="24"/>
          <w:lang w:eastAsia="ru-RU"/>
        </w:rPr>
        <w:t>338,74</w:t>
      </w:r>
      <w:r w:rsidRPr="008F225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млн</w:t>
      </w:r>
      <w:r w:rsidRPr="008F225E">
        <w:rPr>
          <w:rFonts w:ascii="Times New Roman" w:eastAsia="Times New Roman" w:hAnsi="Times New Roman" w:cs="Times New Roman"/>
          <w:sz w:val="24"/>
          <w:szCs w:val="24"/>
          <w:lang w:eastAsia="ru-RU"/>
        </w:rPr>
        <w:t xml:space="preserve"> руб. с НДС;</w:t>
      </w:r>
    </w:p>
    <w:p w:rsidR="00A924F1" w:rsidRPr="008F225E" w:rsidRDefault="00A924F1" w:rsidP="006148A8">
      <w:pPr>
        <w:numPr>
          <w:ilvl w:val="0"/>
          <w:numId w:val="9"/>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платы за технологическое присоединение в объеме </w:t>
      </w:r>
      <w:r>
        <w:rPr>
          <w:rFonts w:ascii="Times New Roman" w:eastAsia="Times New Roman" w:hAnsi="Times New Roman" w:cs="Times New Roman"/>
          <w:sz w:val="24"/>
          <w:szCs w:val="24"/>
          <w:lang w:eastAsia="ru-RU"/>
        </w:rPr>
        <w:t>749,55</w:t>
      </w:r>
      <w:r w:rsidRPr="008F225E">
        <w:rPr>
          <w:rFonts w:ascii="Times New Roman" w:eastAsia="Times New Roman" w:hAnsi="Times New Roman" w:cs="Times New Roman"/>
          <w:sz w:val="24"/>
          <w:szCs w:val="24"/>
          <w:lang w:eastAsia="ru-RU"/>
        </w:rPr>
        <w:t xml:space="preserve"> млн руб. с НДС;</w:t>
      </w:r>
    </w:p>
    <w:p w:rsidR="00A924F1" w:rsidRDefault="00A924F1" w:rsidP="006148A8">
      <w:pPr>
        <w:numPr>
          <w:ilvl w:val="0"/>
          <w:numId w:val="9"/>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lastRenderedPageBreak/>
        <w:t xml:space="preserve">средств дополнительной финансовой поддержки ПАО «Россети» в объеме </w:t>
      </w:r>
      <w:r>
        <w:rPr>
          <w:rFonts w:ascii="Times New Roman" w:eastAsia="Times New Roman" w:hAnsi="Times New Roman" w:cs="Times New Roman"/>
          <w:sz w:val="24"/>
          <w:szCs w:val="24"/>
          <w:lang w:eastAsia="ru-RU"/>
        </w:rPr>
        <w:t>2 013,25</w:t>
      </w:r>
      <w:r w:rsidRPr="008F225E">
        <w:rPr>
          <w:rFonts w:ascii="Times New Roman" w:eastAsia="Times New Roman" w:hAnsi="Times New Roman" w:cs="Times New Roman"/>
          <w:sz w:val="24"/>
          <w:szCs w:val="24"/>
          <w:lang w:eastAsia="ru-RU"/>
        </w:rPr>
        <w:t xml:space="preserve"> млн руб. с НДС;</w:t>
      </w:r>
    </w:p>
    <w:p w:rsidR="00A924F1" w:rsidRPr="008F225E" w:rsidRDefault="00A924F1" w:rsidP="006148A8">
      <w:pPr>
        <w:numPr>
          <w:ilvl w:val="0"/>
          <w:numId w:val="9"/>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займов в объеме 55,09 </w:t>
      </w:r>
      <w:r w:rsidRPr="008F225E">
        <w:rPr>
          <w:rFonts w:ascii="Times New Roman" w:eastAsia="Times New Roman" w:hAnsi="Times New Roman" w:cs="Times New Roman"/>
          <w:sz w:val="24"/>
          <w:szCs w:val="24"/>
          <w:lang w:eastAsia="ru-RU"/>
        </w:rPr>
        <w:t>млн руб. с НДС</w:t>
      </w:r>
      <w:r>
        <w:rPr>
          <w:rFonts w:ascii="Times New Roman" w:eastAsia="Times New Roman" w:hAnsi="Times New Roman" w:cs="Times New Roman"/>
          <w:sz w:val="24"/>
          <w:szCs w:val="24"/>
          <w:lang w:eastAsia="ru-RU"/>
        </w:rPr>
        <w:t>;</w:t>
      </w:r>
    </w:p>
    <w:p w:rsidR="00A924F1" w:rsidRPr="008F225E" w:rsidRDefault="00A924F1" w:rsidP="006148A8">
      <w:pPr>
        <w:numPr>
          <w:ilvl w:val="0"/>
          <w:numId w:val="9"/>
        </w:num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F225E">
        <w:rPr>
          <w:rFonts w:ascii="Times New Roman" w:eastAsia="Times New Roman" w:hAnsi="Times New Roman" w:cs="Times New Roman"/>
          <w:sz w:val="24"/>
          <w:szCs w:val="24"/>
          <w:lang w:eastAsia="ru-RU"/>
        </w:rPr>
        <w:t xml:space="preserve">средств федерального бюджета в объеме </w:t>
      </w:r>
      <w:r>
        <w:rPr>
          <w:rFonts w:ascii="Times New Roman" w:eastAsia="Times New Roman" w:hAnsi="Times New Roman" w:cs="Times New Roman"/>
          <w:sz w:val="24"/>
          <w:szCs w:val="24"/>
          <w:lang w:eastAsia="ru-RU"/>
        </w:rPr>
        <w:t>818,12</w:t>
      </w:r>
      <w:r w:rsidRPr="008F225E">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млн</w:t>
      </w:r>
      <w:r w:rsidRPr="008F225E">
        <w:rPr>
          <w:rFonts w:ascii="Times New Roman" w:eastAsia="Times New Roman" w:hAnsi="Times New Roman" w:cs="Times New Roman"/>
          <w:sz w:val="24"/>
          <w:szCs w:val="24"/>
          <w:lang w:eastAsia="ru-RU"/>
        </w:rPr>
        <w:t xml:space="preserve"> руб. с НДС.</w:t>
      </w:r>
    </w:p>
    <w:p w:rsidR="00A924F1" w:rsidRPr="00646C13" w:rsidRDefault="00A924F1" w:rsidP="00A924F1">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rsidR="00A924F1" w:rsidRPr="00646C13" w:rsidRDefault="00A924F1" w:rsidP="00A924F1">
      <w:pPr>
        <w:tabs>
          <w:tab w:val="left" w:pos="1276"/>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Результаты реализации инв</w:t>
      </w:r>
      <w:r>
        <w:rPr>
          <w:rFonts w:ascii="Times New Roman" w:eastAsia="Times New Roman" w:hAnsi="Times New Roman" w:cs="Times New Roman"/>
          <w:b/>
          <w:sz w:val="24"/>
          <w:szCs w:val="24"/>
          <w:lang w:eastAsia="ru-RU"/>
        </w:rPr>
        <w:t>естиционной программы 2023 года</w:t>
      </w:r>
    </w:p>
    <w:p w:rsidR="00A924F1" w:rsidRPr="00646C13" w:rsidRDefault="00A924F1" w:rsidP="00A924F1">
      <w:pPr>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rsidR="00A924F1" w:rsidRPr="004253AA"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4253AA">
        <w:rPr>
          <w:rFonts w:ascii="Times New Roman" w:eastAsia="Times New Roman" w:hAnsi="Times New Roman" w:cs="Times New Roman"/>
          <w:sz w:val="24"/>
          <w:szCs w:val="24"/>
          <w:lang w:eastAsia="ru-RU"/>
        </w:rPr>
        <w:t>Информация о результатах, достигнутых в 2023 году за счет реализации мероприятий, включенных в инвестиционную программу, в соответствии с Приказом Минэнерго России от 14.03.2017 № 177:</w:t>
      </w:r>
    </w:p>
    <w:p w:rsidR="00A924F1" w:rsidRPr="004253AA" w:rsidRDefault="00A924F1" w:rsidP="00A924F1">
      <w:pPr>
        <w:spacing w:after="0" w:line="240" w:lineRule="auto"/>
        <w:ind w:firstLine="709"/>
        <w:jc w:val="both"/>
        <w:rPr>
          <w:rFonts w:ascii="Times New Roman" w:eastAsia="Calibri" w:hAnsi="Times New Roman" w:cs="Times New Roman"/>
          <w:sz w:val="24"/>
          <w:szCs w:val="24"/>
        </w:rPr>
      </w:pPr>
      <w:r w:rsidRPr="004253AA">
        <w:rPr>
          <w:rFonts w:ascii="Times New Roman" w:eastAsia="Calibri" w:hAnsi="Times New Roman" w:cs="Times New Roman"/>
          <w:bCs/>
          <w:sz w:val="24"/>
          <w:szCs w:val="24"/>
        </w:rPr>
        <w:t xml:space="preserve">- в результате реализации инвестиционной программы прирост открытых центров питания </w:t>
      </w:r>
      <w:r w:rsidRPr="004253AA">
        <w:rPr>
          <w:rFonts w:ascii="Times New Roman" w:eastAsia="Calibri" w:hAnsi="Times New Roman" w:cs="Times New Roman"/>
          <w:sz w:val="24"/>
          <w:szCs w:val="24"/>
        </w:rPr>
        <w:t>отсутствует;</w:t>
      </w:r>
    </w:p>
    <w:p w:rsidR="00A924F1" w:rsidRPr="004253AA" w:rsidRDefault="00A924F1" w:rsidP="00A924F1">
      <w:pPr>
        <w:spacing w:after="0" w:line="240" w:lineRule="auto"/>
        <w:jc w:val="both"/>
        <w:rPr>
          <w:rFonts w:ascii="Times New Roman" w:eastAsia="Times New Roman" w:hAnsi="Times New Roman" w:cs="Times New Roman"/>
          <w:bCs/>
          <w:snapToGrid w:val="0"/>
          <w:sz w:val="24"/>
          <w:szCs w:val="24"/>
          <w:lang w:eastAsia="ru-RU"/>
        </w:rPr>
      </w:pPr>
      <w:r w:rsidRPr="004253AA">
        <w:rPr>
          <w:rFonts w:ascii="Times New Roman" w:eastAsia="Times New Roman" w:hAnsi="Times New Roman" w:cs="Times New Roman"/>
          <w:bCs/>
          <w:snapToGrid w:val="0"/>
          <w:sz w:val="24"/>
          <w:szCs w:val="24"/>
          <w:lang w:eastAsia="ru-RU"/>
        </w:rPr>
        <w:tab/>
        <w:t>- в 2023 году объекты, влияющие на 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 не реализовывались;</w:t>
      </w:r>
    </w:p>
    <w:p w:rsidR="00A924F1" w:rsidRPr="004253AA" w:rsidRDefault="00A924F1" w:rsidP="00A924F1">
      <w:pPr>
        <w:spacing w:after="0" w:line="240" w:lineRule="auto"/>
        <w:jc w:val="both"/>
        <w:rPr>
          <w:rFonts w:ascii="Times New Roman" w:eastAsia="Times New Roman" w:hAnsi="Times New Roman" w:cs="Times New Roman"/>
          <w:bCs/>
          <w:snapToGrid w:val="0"/>
          <w:sz w:val="24"/>
          <w:szCs w:val="24"/>
          <w:lang w:eastAsia="ru-RU"/>
        </w:rPr>
      </w:pPr>
      <w:r w:rsidRPr="004253AA">
        <w:rPr>
          <w:rFonts w:ascii="Times New Roman" w:eastAsia="Times New Roman" w:hAnsi="Times New Roman" w:cs="Times New Roman"/>
          <w:bCs/>
          <w:snapToGrid w:val="0"/>
          <w:sz w:val="24"/>
          <w:szCs w:val="24"/>
          <w:lang w:eastAsia="ru-RU"/>
        </w:rPr>
        <w:tab/>
        <w:t>- ввиду отсутствия аварий на объектах, реализуемых в рамках инвестиционной программы, значения показателя средней продолжительности прекращений передачи электрической энергии и значения оценки изменения средней частоты прекращения передачи электрической энергии потребителям услуг АО «Чеченэнерго» не рассчитывались;</w:t>
      </w:r>
    </w:p>
    <w:p w:rsidR="00A924F1" w:rsidRPr="004253AA" w:rsidRDefault="00A924F1" w:rsidP="00A924F1">
      <w:pPr>
        <w:spacing w:after="0" w:line="240" w:lineRule="auto"/>
        <w:jc w:val="both"/>
        <w:rPr>
          <w:rFonts w:ascii="Times New Roman" w:eastAsia="Times New Roman" w:hAnsi="Times New Roman" w:cs="Times New Roman"/>
          <w:bCs/>
          <w:snapToGrid w:val="0"/>
          <w:sz w:val="24"/>
          <w:szCs w:val="24"/>
          <w:lang w:eastAsia="ru-RU"/>
        </w:rPr>
      </w:pPr>
      <w:r w:rsidRPr="004253AA">
        <w:rPr>
          <w:rFonts w:ascii="Times New Roman" w:eastAsia="Times New Roman" w:hAnsi="Times New Roman" w:cs="Times New Roman"/>
          <w:bCs/>
          <w:snapToGrid w:val="0"/>
          <w:sz w:val="24"/>
          <w:szCs w:val="24"/>
          <w:lang w:eastAsia="ru-RU"/>
        </w:rPr>
        <w:tab/>
        <w:t>- за отчетный период в рамках инвестиционной программы исполнено 3209 договоров по осуществлению технологического присоединения;</w:t>
      </w:r>
    </w:p>
    <w:p w:rsidR="00A924F1" w:rsidRPr="00646C13" w:rsidRDefault="00A924F1" w:rsidP="00A924F1">
      <w:pPr>
        <w:spacing w:after="0" w:line="240" w:lineRule="auto"/>
        <w:jc w:val="both"/>
        <w:rPr>
          <w:rFonts w:ascii="Times New Roman" w:eastAsia="Times New Roman" w:hAnsi="Times New Roman" w:cs="Times New Roman"/>
          <w:bCs/>
          <w:snapToGrid w:val="0"/>
          <w:sz w:val="24"/>
          <w:szCs w:val="24"/>
          <w:lang w:eastAsia="ru-RU"/>
        </w:rPr>
      </w:pPr>
      <w:r w:rsidRPr="004253AA">
        <w:rPr>
          <w:rFonts w:ascii="Times New Roman" w:eastAsia="Times New Roman" w:hAnsi="Times New Roman" w:cs="Times New Roman"/>
          <w:bCs/>
          <w:snapToGrid w:val="0"/>
          <w:sz w:val="24"/>
          <w:szCs w:val="24"/>
          <w:lang w:eastAsia="ru-RU"/>
        </w:rPr>
        <w:tab/>
        <w:t>- максимальная мощность присоединяемых потребителей электрической энергии к сетям АО «Чеченэнерго» в 2023 году составила 3,97 МВт.</w:t>
      </w:r>
    </w:p>
    <w:p w:rsidR="00A924F1" w:rsidRPr="00646C13"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646C13" w:rsidRDefault="00A924F1" w:rsidP="00A924F1">
      <w:pPr>
        <w:tabs>
          <w:tab w:val="left" w:pos="1276"/>
        </w:tabs>
        <w:autoSpaceDE w:val="0"/>
        <w:autoSpaceDN w:val="0"/>
        <w:adjustRightInd w:val="0"/>
        <w:spacing w:after="0" w:line="240" w:lineRule="auto"/>
        <w:ind w:firstLine="709"/>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Долгос</w:t>
      </w:r>
      <w:r>
        <w:rPr>
          <w:rFonts w:ascii="Times New Roman" w:eastAsia="Times New Roman" w:hAnsi="Times New Roman" w:cs="Times New Roman"/>
          <w:b/>
          <w:sz w:val="24"/>
          <w:szCs w:val="24"/>
          <w:lang w:eastAsia="ru-RU"/>
        </w:rPr>
        <w:t>рочная инвестиционная программа</w:t>
      </w:r>
    </w:p>
    <w:p w:rsidR="00A924F1" w:rsidRPr="00646C13" w:rsidRDefault="00A924F1" w:rsidP="00A924F1">
      <w:pPr>
        <w:tabs>
          <w:tab w:val="left" w:pos="1276"/>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Инвестиционная программа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на период 202</w:t>
      </w:r>
      <w:r>
        <w:rPr>
          <w:rFonts w:ascii="Times New Roman" w:eastAsia="Times New Roman" w:hAnsi="Times New Roman" w:cs="Times New Roman"/>
          <w:sz w:val="24"/>
          <w:szCs w:val="24"/>
          <w:lang w:eastAsia="ru-RU"/>
        </w:rPr>
        <w:t>4</w:t>
      </w:r>
      <w:r w:rsidRPr="00646C13">
        <w:rPr>
          <w:rFonts w:ascii="Times New Roman" w:eastAsia="Times New Roman" w:hAnsi="Times New Roman" w:cs="Times New Roman"/>
          <w:sz w:val="24"/>
          <w:szCs w:val="24"/>
          <w:lang w:eastAsia="ru-RU"/>
        </w:rPr>
        <w:t xml:space="preserve">-2027 гг. утверждена приказом Минэнерго России от </w:t>
      </w:r>
      <w:r>
        <w:rPr>
          <w:rFonts w:ascii="Times New Roman" w:eastAsia="Times New Roman" w:hAnsi="Times New Roman" w:cs="Times New Roman"/>
          <w:sz w:val="24"/>
          <w:szCs w:val="24"/>
          <w:lang w:eastAsia="ru-RU"/>
        </w:rPr>
        <w:t>28.12.2023</w:t>
      </w:r>
      <w:r w:rsidRPr="00646C13">
        <w:rPr>
          <w:rFonts w:ascii="Times New Roman" w:eastAsia="Times New Roman" w:hAnsi="Times New Roman" w:cs="Times New Roman"/>
          <w:sz w:val="24"/>
          <w:szCs w:val="24"/>
          <w:lang w:eastAsia="ru-RU"/>
        </w:rPr>
        <w:t xml:space="preserve"> № </w:t>
      </w:r>
      <w:r>
        <w:rPr>
          <w:rFonts w:ascii="Times New Roman" w:eastAsia="Times New Roman" w:hAnsi="Times New Roman" w:cs="Times New Roman"/>
          <w:sz w:val="24"/>
          <w:szCs w:val="24"/>
          <w:lang w:eastAsia="ru-RU"/>
        </w:rPr>
        <w:t>3</w:t>
      </w:r>
      <w:r w:rsidRPr="00646C13">
        <w:rPr>
          <w:rFonts w:ascii="Times New Roman" w:eastAsia="Times New Roman" w:hAnsi="Times New Roman" w:cs="Times New Roman"/>
          <w:sz w:val="24"/>
          <w:szCs w:val="24"/>
          <w:lang w:eastAsia="ru-RU"/>
        </w:rPr>
        <w:t>6@.</w:t>
      </w:r>
    </w:p>
    <w:p w:rsidR="00A924F1" w:rsidRDefault="00A924F1" w:rsidP="00A924F1">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tbl>
      <w:tblPr>
        <w:tblW w:w="9475" w:type="dxa"/>
        <w:tblInd w:w="-5" w:type="dxa"/>
        <w:tblLook w:val="04A0" w:firstRow="1" w:lastRow="0" w:firstColumn="1" w:lastColumn="0" w:noHBand="0" w:noVBand="1"/>
      </w:tblPr>
      <w:tblGrid>
        <w:gridCol w:w="2469"/>
        <w:gridCol w:w="1075"/>
        <w:gridCol w:w="1395"/>
        <w:gridCol w:w="1560"/>
        <w:gridCol w:w="1417"/>
        <w:gridCol w:w="1559"/>
      </w:tblGrid>
      <w:tr w:rsidR="00A924F1" w:rsidRPr="00F94FF8" w:rsidTr="00F94FF8">
        <w:trPr>
          <w:trHeight w:val="300"/>
        </w:trPr>
        <w:tc>
          <w:tcPr>
            <w:tcW w:w="24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Показатели</w:t>
            </w:r>
          </w:p>
        </w:tc>
        <w:tc>
          <w:tcPr>
            <w:tcW w:w="107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Ед. изм.</w:t>
            </w:r>
          </w:p>
        </w:tc>
        <w:tc>
          <w:tcPr>
            <w:tcW w:w="5931" w:type="dxa"/>
            <w:gridSpan w:val="4"/>
            <w:tcBorders>
              <w:top w:val="single" w:sz="4" w:space="0" w:color="auto"/>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Планируемые периоды </w:t>
            </w:r>
          </w:p>
        </w:tc>
      </w:tr>
      <w:tr w:rsidR="00A924F1" w:rsidRPr="00F94FF8" w:rsidTr="00F94FF8">
        <w:trPr>
          <w:trHeight w:val="300"/>
        </w:trPr>
        <w:tc>
          <w:tcPr>
            <w:tcW w:w="2469" w:type="dxa"/>
            <w:vMerge/>
            <w:tcBorders>
              <w:top w:val="single" w:sz="4" w:space="0" w:color="auto"/>
              <w:left w:val="single" w:sz="4" w:space="0" w:color="auto"/>
              <w:bottom w:val="single" w:sz="4" w:space="0" w:color="auto"/>
              <w:right w:val="single" w:sz="4" w:space="0" w:color="auto"/>
            </w:tcBorders>
            <w:vAlign w:val="center"/>
            <w:hideMark/>
          </w:tcPr>
          <w:p w:rsidR="00A924F1" w:rsidRPr="00F94FF8" w:rsidRDefault="00A924F1" w:rsidP="00A924F1">
            <w:pPr>
              <w:spacing w:after="0" w:line="240" w:lineRule="auto"/>
              <w:rPr>
                <w:rFonts w:ascii="Times New Roman" w:eastAsia="Times New Roman" w:hAnsi="Times New Roman" w:cs="Times New Roman"/>
                <w:b/>
                <w:bCs/>
                <w:color w:val="000000"/>
                <w:sz w:val="20"/>
                <w:szCs w:val="20"/>
                <w:lang w:eastAsia="ru-RU"/>
              </w:rPr>
            </w:pPr>
          </w:p>
        </w:tc>
        <w:tc>
          <w:tcPr>
            <w:tcW w:w="1075" w:type="dxa"/>
            <w:vMerge/>
            <w:tcBorders>
              <w:top w:val="single" w:sz="4" w:space="0" w:color="auto"/>
              <w:left w:val="single" w:sz="4" w:space="0" w:color="auto"/>
              <w:bottom w:val="single" w:sz="4" w:space="0" w:color="auto"/>
              <w:right w:val="single" w:sz="4" w:space="0" w:color="auto"/>
            </w:tcBorders>
            <w:vAlign w:val="center"/>
            <w:hideMark/>
          </w:tcPr>
          <w:p w:rsidR="00A924F1" w:rsidRPr="00F94FF8" w:rsidRDefault="00A924F1" w:rsidP="00A924F1">
            <w:pPr>
              <w:spacing w:after="0" w:line="240" w:lineRule="auto"/>
              <w:rPr>
                <w:rFonts w:ascii="Times New Roman" w:eastAsia="Times New Roman" w:hAnsi="Times New Roman" w:cs="Times New Roman"/>
                <w:b/>
                <w:bCs/>
                <w:color w:val="000000"/>
                <w:sz w:val="20"/>
                <w:szCs w:val="20"/>
                <w:lang w:eastAsia="ru-RU"/>
              </w:rPr>
            </w:pP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2024 год</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2025 год</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2026 год</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b/>
                <w:bCs/>
                <w:color w:val="000000"/>
                <w:sz w:val="20"/>
                <w:szCs w:val="20"/>
                <w:lang w:eastAsia="ru-RU"/>
              </w:rPr>
            </w:pPr>
            <w:r w:rsidRPr="00F94FF8">
              <w:rPr>
                <w:rFonts w:ascii="Times New Roman" w:eastAsia="Times New Roman" w:hAnsi="Times New Roman" w:cs="Times New Roman"/>
                <w:b/>
                <w:bCs/>
                <w:color w:val="000000"/>
                <w:sz w:val="20"/>
                <w:szCs w:val="20"/>
                <w:lang w:eastAsia="ru-RU"/>
              </w:rPr>
              <w:t>2027 год</w:t>
            </w:r>
          </w:p>
        </w:tc>
      </w:tr>
      <w:tr w:rsidR="00A924F1" w:rsidRPr="00F94FF8" w:rsidTr="00F94FF8">
        <w:trPr>
          <w:trHeight w:val="300"/>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2</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3</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4</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5</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6</w:t>
            </w:r>
          </w:p>
        </w:tc>
      </w:tr>
      <w:tr w:rsidR="00A924F1" w:rsidRPr="00F94FF8" w:rsidTr="00F94FF8">
        <w:trPr>
          <w:trHeight w:val="64"/>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 xml:space="preserve">Объем финансирования </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млн руб.</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4140,68</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1961,86</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151,82</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166,39</w:t>
            </w:r>
          </w:p>
        </w:tc>
      </w:tr>
      <w:tr w:rsidR="00A924F1" w:rsidRPr="00F94FF8" w:rsidTr="00F94FF8">
        <w:trPr>
          <w:trHeight w:val="274"/>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 xml:space="preserve">Объем освоения капитальных вложений </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млн руб.</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3418,88</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1552,32</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125,83</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107,21</w:t>
            </w:r>
          </w:p>
        </w:tc>
      </w:tr>
      <w:tr w:rsidR="00A924F1" w:rsidRPr="00F94FF8" w:rsidTr="00F94FF8">
        <w:trPr>
          <w:trHeight w:val="510"/>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 xml:space="preserve">Ввод в состав основных средств </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млн руб.</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6140,16</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1626,47</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127,97</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107,21</w:t>
            </w:r>
          </w:p>
        </w:tc>
      </w:tr>
      <w:tr w:rsidR="00A924F1" w:rsidRPr="00F94FF8" w:rsidTr="00F94FF8">
        <w:trPr>
          <w:trHeight w:val="557"/>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Ввод в состав основных средств трансформаторной мощности, МВА</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МВА</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258,78</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0,00</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0,00</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0,00</w:t>
            </w:r>
          </w:p>
        </w:tc>
      </w:tr>
      <w:tr w:rsidR="00A924F1" w:rsidRPr="00F94FF8" w:rsidTr="00F94FF8">
        <w:trPr>
          <w:trHeight w:val="627"/>
        </w:trPr>
        <w:tc>
          <w:tcPr>
            <w:tcW w:w="2469" w:type="dxa"/>
            <w:tcBorders>
              <w:top w:val="nil"/>
              <w:left w:val="single" w:sz="4" w:space="0" w:color="auto"/>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Ввод в состав основных средств линий электропередачи</w:t>
            </w:r>
          </w:p>
        </w:tc>
        <w:tc>
          <w:tcPr>
            <w:tcW w:w="107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км</w:t>
            </w:r>
          </w:p>
        </w:tc>
        <w:tc>
          <w:tcPr>
            <w:tcW w:w="1395"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1287,76</w:t>
            </w:r>
          </w:p>
        </w:tc>
        <w:tc>
          <w:tcPr>
            <w:tcW w:w="1560"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22,32</w:t>
            </w:r>
          </w:p>
        </w:tc>
        <w:tc>
          <w:tcPr>
            <w:tcW w:w="1417"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24,50</w:t>
            </w:r>
          </w:p>
        </w:tc>
        <w:tc>
          <w:tcPr>
            <w:tcW w:w="1559" w:type="dxa"/>
            <w:tcBorders>
              <w:top w:val="nil"/>
              <w:left w:val="nil"/>
              <w:bottom w:val="single" w:sz="4" w:space="0" w:color="auto"/>
              <w:right w:val="single" w:sz="4" w:space="0" w:color="auto"/>
            </w:tcBorders>
            <w:shd w:val="clear" w:color="auto" w:fill="auto"/>
            <w:vAlign w:val="center"/>
            <w:hideMark/>
          </w:tcPr>
          <w:p w:rsidR="00A924F1" w:rsidRPr="00F94FF8" w:rsidRDefault="00A924F1" w:rsidP="00A924F1">
            <w:pPr>
              <w:spacing w:after="0" w:line="240" w:lineRule="auto"/>
              <w:jc w:val="center"/>
              <w:rPr>
                <w:rFonts w:ascii="Times New Roman" w:eastAsia="Times New Roman" w:hAnsi="Times New Roman" w:cs="Times New Roman"/>
                <w:color w:val="000000"/>
                <w:sz w:val="20"/>
                <w:szCs w:val="20"/>
                <w:lang w:eastAsia="ru-RU"/>
              </w:rPr>
            </w:pPr>
            <w:r w:rsidRPr="00F94FF8">
              <w:rPr>
                <w:rFonts w:ascii="Times New Roman" w:eastAsia="Times New Roman" w:hAnsi="Times New Roman" w:cs="Times New Roman"/>
                <w:color w:val="000000"/>
                <w:sz w:val="20"/>
                <w:szCs w:val="20"/>
                <w:lang w:eastAsia="ru-RU"/>
              </w:rPr>
              <w:t>14,50</w:t>
            </w:r>
          </w:p>
        </w:tc>
      </w:tr>
    </w:tbl>
    <w:p w:rsidR="00A924F1" w:rsidRDefault="00A924F1" w:rsidP="00A924F1">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rsidR="00A924F1" w:rsidRPr="00646C13" w:rsidRDefault="00A924F1" w:rsidP="00A924F1">
      <w:pPr>
        <w:tabs>
          <w:tab w:val="left" w:pos="127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r w:rsidRPr="00646C13">
        <w:rPr>
          <w:rFonts w:ascii="Times New Roman" w:eastAsia="Times New Roman" w:hAnsi="Times New Roman" w:cs="Times New Roman"/>
          <w:b/>
          <w:sz w:val="24"/>
          <w:szCs w:val="24"/>
          <w:lang w:eastAsia="ru-RU"/>
        </w:rPr>
        <w:t>Объемы финансирования инвестиционной программы в 202</w:t>
      </w:r>
      <w:r>
        <w:rPr>
          <w:rFonts w:ascii="Times New Roman" w:eastAsia="Times New Roman" w:hAnsi="Times New Roman" w:cs="Times New Roman"/>
          <w:b/>
          <w:sz w:val="24"/>
          <w:szCs w:val="24"/>
          <w:lang w:eastAsia="ru-RU"/>
        </w:rPr>
        <w:t>4-2027</w:t>
      </w:r>
      <w:r w:rsidRPr="00646C13">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гг.</w:t>
      </w:r>
      <w:r w:rsidRPr="00646C13">
        <w:rPr>
          <w:rFonts w:ascii="Times New Roman" w:eastAsia="Times New Roman" w:hAnsi="Times New Roman" w:cs="Times New Roman"/>
          <w:b/>
          <w:sz w:val="24"/>
          <w:szCs w:val="24"/>
          <w:lang w:eastAsia="ru-RU"/>
        </w:rPr>
        <w:t>, млн руб. с НДС.</w:t>
      </w:r>
    </w:p>
    <w:p w:rsidR="00A924F1" w:rsidRPr="00671059" w:rsidRDefault="00A924F1" w:rsidP="00A924F1">
      <w:pPr>
        <w:tabs>
          <w:tab w:val="left" w:pos="1276"/>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671059">
        <w:rPr>
          <w:rFonts w:ascii="Arial" w:eastAsia="Times New Roman" w:hAnsi="Arial" w:cs="Arial"/>
          <w:noProof/>
          <w:sz w:val="24"/>
          <w:szCs w:val="20"/>
          <w:lang w:eastAsia="ru-RU"/>
        </w:rPr>
        <w:lastRenderedPageBreak/>
        <w:drawing>
          <wp:inline distT="0" distB="0" distL="0" distR="0" wp14:anchorId="23674A2E" wp14:editId="66D38865">
            <wp:extent cx="5939790" cy="962025"/>
            <wp:effectExtent l="0" t="0" r="3810" b="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A924F1" w:rsidRPr="00646C13" w:rsidRDefault="00A924F1" w:rsidP="00A924F1">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Default="00A924F1" w:rsidP="00A924F1">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646C13">
        <w:rPr>
          <w:rFonts w:ascii="Times New Roman" w:eastAsia="Times New Roman" w:hAnsi="Times New Roman" w:cs="Times New Roman"/>
          <w:sz w:val="24"/>
          <w:szCs w:val="24"/>
          <w:lang w:eastAsia="ru-RU"/>
        </w:rPr>
        <w:t xml:space="preserve">Долгосрочная инвестиционная программа </w:t>
      </w:r>
      <w:r>
        <w:rPr>
          <w:rFonts w:ascii="Times New Roman" w:eastAsia="Times New Roman" w:hAnsi="Times New Roman" w:cs="Times New Roman"/>
          <w:sz w:val="24"/>
          <w:szCs w:val="24"/>
          <w:lang w:eastAsia="ru-RU"/>
        </w:rPr>
        <w:t>Общества</w:t>
      </w:r>
      <w:r w:rsidRPr="00646C13">
        <w:rPr>
          <w:rFonts w:ascii="Times New Roman" w:eastAsia="Times New Roman" w:hAnsi="Times New Roman" w:cs="Times New Roman"/>
          <w:sz w:val="24"/>
          <w:szCs w:val="24"/>
          <w:lang w:eastAsia="ru-RU"/>
        </w:rPr>
        <w:t xml:space="preserve"> разработана в соответствии с планом развития территории, техническим состоянием электрических сетей, с учётом значимости объектов электроснабжения, прогнозов по выручке от передачи электроэнергии и поступлений по договорам на технологическое присоединение.</w:t>
      </w:r>
    </w:p>
    <w:p w:rsidR="00A924F1" w:rsidRPr="007A40C6" w:rsidRDefault="00A924F1" w:rsidP="00A924F1">
      <w:pPr>
        <w:pStyle w:val="afffff7"/>
        <w:rPr>
          <w:sz w:val="24"/>
        </w:rPr>
      </w:pPr>
      <w:r w:rsidRPr="007A40C6">
        <w:rPr>
          <w:sz w:val="24"/>
        </w:rPr>
        <w:t xml:space="preserve">Согласно </w:t>
      </w:r>
      <w:r>
        <w:rPr>
          <w:sz w:val="24"/>
        </w:rPr>
        <w:t>утвержденной инвестиционной программы,</w:t>
      </w:r>
      <w:r w:rsidRPr="007A40C6">
        <w:rPr>
          <w:sz w:val="24"/>
        </w:rPr>
        <w:t xml:space="preserve"> в 202</w:t>
      </w:r>
      <w:r>
        <w:rPr>
          <w:sz w:val="24"/>
        </w:rPr>
        <w:t>4</w:t>
      </w:r>
      <w:r w:rsidRPr="007A40C6">
        <w:rPr>
          <w:sz w:val="24"/>
        </w:rPr>
        <w:t xml:space="preserve"> году предусмотрено финансирование за счет выделения средств финансовой поддержки со стороны ПАО «Россети, в том числе по приоритетным проектам</w:t>
      </w:r>
      <w:r>
        <w:rPr>
          <w:sz w:val="24"/>
        </w:rPr>
        <w:t>,</w:t>
      </w:r>
      <w:r w:rsidRPr="007A40C6">
        <w:rPr>
          <w:sz w:val="24"/>
        </w:rPr>
        <w:t xml:space="preserve"> в объеме </w:t>
      </w:r>
      <w:r>
        <w:rPr>
          <w:sz w:val="24"/>
        </w:rPr>
        <w:t>4140,68</w:t>
      </w:r>
      <w:r w:rsidRPr="007A40C6">
        <w:rPr>
          <w:sz w:val="24"/>
        </w:rPr>
        <w:t xml:space="preserve"> млн. руб. с НДС. С 202</w:t>
      </w:r>
      <w:r>
        <w:rPr>
          <w:sz w:val="24"/>
        </w:rPr>
        <w:t>5</w:t>
      </w:r>
      <w:r w:rsidRPr="007A40C6">
        <w:rPr>
          <w:sz w:val="24"/>
        </w:rPr>
        <w:t xml:space="preserve"> года происходит снижение финансирования в связи с </w:t>
      </w:r>
      <w:r>
        <w:rPr>
          <w:sz w:val="24"/>
        </w:rPr>
        <w:t>частичным завершением</w:t>
      </w:r>
      <w:r w:rsidRPr="007A40C6">
        <w:rPr>
          <w:sz w:val="24"/>
        </w:rPr>
        <w:t xml:space="preserve"> реализации Плана (программы) снижения потерь электрической энергии в электрических сетях АО</w:t>
      </w:r>
      <w:r>
        <w:rPr>
          <w:sz w:val="24"/>
        </w:rPr>
        <w:t> </w:t>
      </w:r>
      <w:r w:rsidRPr="007A40C6">
        <w:rPr>
          <w:sz w:val="24"/>
        </w:rPr>
        <w:t>"Чеченэнерго"</w:t>
      </w:r>
      <w:r>
        <w:rPr>
          <w:sz w:val="24"/>
        </w:rPr>
        <w:t>.</w:t>
      </w:r>
    </w:p>
    <w:p w:rsidR="00A924F1" w:rsidRPr="00646C13" w:rsidRDefault="00A924F1" w:rsidP="00A924F1">
      <w:pPr>
        <w:widowControl w:val="0"/>
        <w:tabs>
          <w:tab w:val="left" w:pos="127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A924F1" w:rsidRPr="00646C13" w:rsidRDefault="00A924F1" w:rsidP="00A924F1">
      <w:pPr>
        <w:spacing w:after="0" w:line="240" w:lineRule="auto"/>
        <w:jc w:val="center"/>
        <w:rPr>
          <w:rFonts w:ascii="Times New Roman" w:eastAsia="Calibri" w:hAnsi="Times New Roman" w:cs="Times New Roman"/>
          <w:b/>
          <w:sz w:val="24"/>
          <w:szCs w:val="24"/>
          <w:lang w:eastAsia="ru-RU"/>
        </w:rPr>
      </w:pPr>
      <w:r w:rsidRPr="00646C13">
        <w:rPr>
          <w:rFonts w:ascii="Times New Roman" w:eastAsia="Calibri" w:hAnsi="Times New Roman" w:cs="Times New Roman"/>
          <w:b/>
          <w:sz w:val="24"/>
          <w:szCs w:val="24"/>
          <w:lang w:eastAsia="ru-RU"/>
        </w:rPr>
        <w:t>Объем планируемых капитальных вложений и вводов в основные фонды в соответствии с инвестиционной программой за 202</w:t>
      </w:r>
      <w:r>
        <w:rPr>
          <w:rFonts w:ascii="Times New Roman" w:eastAsia="Calibri" w:hAnsi="Times New Roman" w:cs="Times New Roman"/>
          <w:b/>
          <w:sz w:val="24"/>
          <w:szCs w:val="24"/>
          <w:lang w:eastAsia="ru-RU"/>
        </w:rPr>
        <w:t>4</w:t>
      </w:r>
      <w:r w:rsidRPr="00646C13">
        <w:rPr>
          <w:rFonts w:ascii="Times New Roman" w:eastAsia="Calibri" w:hAnsi="Times New Roman" w:cs="Times New Roman"/>
          <w:b/>
          <w:sz w:val="24"/>
          <w:szCs w:val="24"/>
          <w:lang w:eastAsia="ru-RU"/>
        </w:rPr>
        <w:t>-2027 годы, млн руб. без НДС</w:t>
      </w:r>
    </w:p>
    <w:p w:rsidR="00A924F1" w:rsidRPr="00646C13" w:rsidRDefault="00A924F1" w:rsidP="00A924F1">
      <w:pPr>
        <w:widowControl w:val="0"/>
        <w:tabs>
          <w:tab w:val="left" w:pos="113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46C13">
        <w:rPr>
          <w:rFonts w:ascii="Times New Roman" w:eastAsia="Times New Roman" w:hAnsi="Times New Roman" w:cs="Times New Roman"/>
          <w:noProof/>
          <w:sz w:val="24"/>
          <w:szCs w:val="24"/>
          <w:lang w:eastAsia="ru-RU"/>
        </w:rPr>
        <w:drawing>
          <wp:inline distT="0" distB="0" distL="0" distR="0" wp14:anchorId="2046350A" wp14:editId="4CE46BBA">
            <wp:extent cx="5480685" cy="1200150"/>
            <wp:effectExtent l="0" t="0" r="5715" b="0"/>
            <wp:docPr id="481"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924F1" w:rsidRPr="00100512" w:rsidRDefault="00A924F1" w:rsidP="00A924F1">
      <w:pPr>
        <w:spacing w:after="0" w:line="240" w:lineRule="auto"/>
        <w:ind w:firstLine="708"/>
        <w:jc w:val="both"/>
        <w:rPr>
          <w:rFonts w:ascii="Times New Roman" w:eastAsia="Times New Roman" w:hAnsi="Times New Roman" w:cs="Times New Roman"/>
          <w:sz w:val="24"/>
          <w:szCs w:val="24"/>
          <w:lang w:eastAsia="ru-RU"/>
        </w:rPr>
      </w:pPr>
      <w:r w:rsidRPr="00100512">
        <w:rPr>
          <w:rFonts w:ascii="Times New Roman" w:eastAsia="Times New Roman" w:hAnsi="Times New Roman" w:cs="Times New Roman"/>
          <w:sz w:val="24"/>
          <w:szCs w:val="24"/>
          <w:lang w:eastAsia="ru-RU"/>
        </w:rPr>
        <w:t>В 202</w:t>
      </w:r>
      <w:r>
        <w:rPr>
          <w:rFonts w:ascii="Times New Roman" w:eastAsia="Times New Roman" w:hAnsi="Times New Roman" w:cs="Times New Roman"/>
          <w:sz w:val="24"/>
          <w:szCs w:val="24"/>
          <w:lang w:eastAsia="ru-RU"/>
        </w:rPr>
        <w:t>4</w:t>
      </w:r>
      <w:r w:rsidRPr="00100512">
        <w:rPr>
          <w:rFonts w:ascii="Times New Roman" w:eastAsia="Times New Roman" w:hAnsi="Times New Roman" w:cs="Times New Roman"/>
          <w:sz w:val="24"/>
          <w:szCs w:val="24"/>
          <w:lang w:eastAsia="ru-RU"/>
        </w:rPr>
        <w:t xml:space="preserve"> году освоение капитальных вложений и ввод в основные фонды запланированы в объеме </w:t>
      </w:r>
      <w:r>
        <w:rPr>
          <w:rFonts w:ascii="Times New Roman" w:eastAsia="Times New Roman" w:hAnsi="Times New Roman" w:cs="Times New Roman"/>
          <w:sz w:val="24"/>
          <w:szCs w:val="24"/>
          <w:lang w:eastAsia="ru-RU"/>
        </w:rPr>
        <w:t>3418,88</w:t>
      </w:r>
      <w:r w:rsidRPr="00100512">
        <w:rPr>
          <w:rFonts w:ascii="Times New Roman" w:eastAsia="Times New Roman" w:hAnsi="Times New Roman" w:cs="Times New Roman"/>
          <w:sz w:val="24"/>
          <w:szCs w:val="24"/>
          <w:lang w:eastAsia="ru-RU"/>
        </w:rPr>
        <w:t xml:space="preserve"> млн. руб. без НДС и </w:t>
      </w:r>
      <w:r>
        <w:rPr>
          <w:rFonts w:ascii="Times New Roman" w:eastAsia="Times New Roman" w:hAnsi="Times New Roman" w:cs="Times New Roman"/>
          <w:sz w:val="24"/>
          <w:szCs w:val="24"/>
          <w:lang w:eastAsia="ru-RU"/>
        </w:rPr>
        <w:t>6140,16</w:t>
      </w:r>
      <w:r w:rsidRPr="00100512">
        <w:rPr>
          <w:rFonts w:ascii="Times New Roman" w:eastAsia="Times New Roman" w:hAnsi="Times New Roman" w:cs="Times New Roman"/>
          <w:sz w:val="24"/>
          <w:szCs w:val="24"/>
          <w:lang w:eastAsia="ru-RU"/>
        </w:rPr>
        <w:t xml:space="preserve"> млн. руб. без НДС соответственно. В числе значимых проектов, запланированных к реализации в 202</w:t>
      </w:r>
      <w:r>
        <w:rPr>
          <w:rFonts w:ascii="Times New Roman" w:eastAsia="Times New Roman" w:hAnsi="Times New Roman" w:cs="Times New Roman"/>
          <w:sz w:val="24"/>
          <w:szCs w:val="24"/>
          <w:lang w:eastAsia="ru-RU"/>
        </w:rPr>
        <w:t>4</w:t>
      </w:r>
      <w:r w:rsidRPr="00100512">
        <w:rPr>
          <w:rFonts w:ascii="Times New Roman" w:eastAsia="Times New Roman" w:hAnsi="Times New Roman" w:cs="Times New Roman"/>
          <w:sz w:val="24"/>
          <w:szCs w:val="24"/>
          <w:lang w:eastAsia="ru-RU"/>
        </w:rPr>
        <w:t xml:space="preserve"> году, модернизация средств учета электроэнергии</w:t>
      </w:r>
      <w:r>
        <w:rPr>
          <w:rFonts w:ascii="Times New Roman" w:eastAsia="Times New Roman" w:hAnsi="Times New Roman" w:cs="Times New Roman"/>
          <w:sz w:val="24"/>
          <w:szCs w:val="24"/>
          <w:lang w:eastAsia="ru-RU"/>
        </w:rPr>
        <w:t>, а также с</w:t>
      </w:r>
      <w:r w:rsidRPr="00192DDE">
        <w:rPr>
          <w:rFonts w:ascii="Times New Roman" w:eastAsia="Times New Roman" w:hAnsi="Times New Roman" w:cs="Times New Roman"/>
          <w:sz w:val="24"/>
          <w:szCs w:val="24"/>
          <w:lang w:eastAsia="ru-RU"/>
        </w:rPr>
        <w:t>троительство и реконструкция сети 10-0,4 кВ</w:t>
      </w:r>
      <w:r w:rsidRPr="00100512">
        <w:rPr>
          <w:rFonts w:ascii="Times New Roman" w:eastAsia="Times New Roman" w:hAnsi="Times New Roman" w:cs="Times New Roman"/>
          <w:sz w:val="24"/>
          <w:szCs w:val="24"/>
          <w:lang w:eastAsia="ru-RU"/>
        </w:rPr>
        <w:t xml:space="preserve"> в рамках Плана (программы) снижения потерь электрической энергии в электрических сетях АО «Чеченэнерго».</w:t>
      </w:r>
    </w:p>
    <w:p w:rsidR="00A924F1" w:rsidRDefault="00A924F1" w:rsidP="00A924F1">
      <w:pPr>
        <w:spacing w:after="0" w:line="240" w:lineRule="auto"/>
        <w:ind w:firstLine="708"/>
        <w:jc w:val="both"/>
        <w:rPr>
          <w:lang w:eastAsia="ru-RU"/>
        </w:rPr>
      </w:pPr>
      <w:r>
        <w:rPr>
          <w:rFonts w:ascii="Times New Roman" w:eastAsia="Times New Roman" w:hAnsi="Times New Roman" w:cs="Times New Roman"/>
          <w:sz w:val="24"/>
          <w:szCs w:val="24"/>
          <w:lang w:eastAsia="ru-RU"/>
        </w:rPr>
        <w:t>С 2025</w:t>
      </w:r>
      <w:r w:rsidRPr="00100512">
        <w:rPr>
          <w:rFonts w:ascii="Times New Roman" w:eastAsia="Times New Roman" w:hAnsi="Times New Roman" w:cs="Times New Roman"/>
          <w:sz w:val="24"/>
          <w:szCs w:val="24"/>
          <w:lang w:eastAsia="ru-RU"/>
        </w:rPr>
        <w:t xml:space="preserve"> по 2027 годы происходит снижение объемов освоения капитальных вложений и ввода в основные фонды в связи с окончанием реализации Плана (программы) снижения потерь электрической энергии в элект</w:t>
      </w:r>
      <w:r>
        <w:rPr>
          <w:rFonts w:ascii="Times New Roman" w:eastAsia="Times New Roman" w:hAnsi="Times New Roman" w:cs="Times New Roman"/>
          <w:sz w:val="24"/>
          <w:szCs w:val="24"/>
          <w:lang w:eastAsia="ru-RU"/>
        </w:rPr>
        <w:t>рических сетях АО «Чеченэнерго».</w:t>
      </w:r>
      <w:r w:rsidRPr="00100512">
        <w:rPr>
          <w:rFonts w:ascii="Times New Roman" w:eastAsia="Times New Roman" w:hAnsi="Times New Roman" w:cs="Times New Roman"/>
          <w:sz w:val="24"/>
          <w:szCs w:val="24"/>
          <w:lang w:eastAsia="ru-RU"/>
        </w:rPr>
        <w:t xml:space="preserve"> </w:t>
      </w:r>
    </w:p>
    <w:p w:rsidR="00A924F1" w:rsidRPr="007621CE" w:rsidRDefault="00A924F1" w:rsidP="00A924F1">
      <w:pPr>
        <w:spacing w:after="0" w:line="240" w:lineRule="auto"/>
        <w:rPr>
          <w:lang w:eastAsia="ru-RU"/>
        </w:rPr>
      </w:pPr>
    </w:p>
    <w:p w:rsidR="00A924F1" w:rsidRPr="000B7539" w:rsidRDefault="00A924F1" w:rsidP="00A924F1">
      <w:pPr>
        <w:spacing w:after="0" w:line="240" w:lineRule="auto"/>
        <w:jc w:val="center"/>
        <w:rPr>
          <w:rFonts w:ascii="Times New Roman" w:hAnsi="Times New Roman" w:cs="Times New Roman"/>
          <w:b/>
          <w:sz w:val="24"/>
          <w:szCs w:val="28"/>
        </w:rPr>
      </w:pPr>
      <w:r w:rsidRPr="000B7539">
        <w:rPr>
          <w:rFonts w:ascii="Times New Roman" w:hAnsi="Times New Roman" w:cs="Times New Roman"/>
          <w:b/>
          <w:sz w:val="24"/>
          <w:szCs w:val="28"/>
        </w:rPr>
        <w:t>Динамика ввода мощности, МВА и км</w:t>
      </w:r>
    </w:p>
    <w:p w:rsidR="00A924F1" w:rsidRPr="009277AC" w:rsidRDefault="00A924F1" w:rsidP="00A924F1">
      <w:pPr>
        <w:rPr>
          <w:lang w:eastAsia="ru-RU"/>
        </w:rPr>
      </w:pPr>
      <w:r>
        <w:rPr>
          <w:noProof/>
          <w:lang w:eastAsia="ru-RU"/>
        </w:rPr>
        <w:drawing>
          <wp:inline distT="0" distB="0" distL="0" distR="0" wp14:anchorId="440BD0D3" wp14:editId="0267BBCB">
            <wp:extent cx="5486400" cy="1367624"/>
            <wp:effectExtent l="0" t="0" r="0" b="4445"/>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E0474" w:rsidRPr="00B369F9" w:rsidRDefault="00FE0474" w:rsidP="00FE0474">
      <w:pPr>
        <w:pStyle w:val="1"/>
        <w:ind w:firstLine="709"/>
      </w:pPr>
      <w:bookmarkStart w:id="23" w:name="_Toc163738867"/>
      <w:r w:rsidRPr="00FC4B06">
        <w:t>Консолидация электросетевых активов</w:t>
      </w:r>
      <w:bookmarkEnd w:id="23"/>
    </w:p>
    <w:p w:rsidR="00FE0474" w:rsidRDefault="00FE0474" w:rsidP="00FE0474">
      <w:pPr>
        <w:spacing w:after="0" w:line="240" w:lineRule="auto"/>
        <w:rPr>
          <w:sz w:val="24"/>
          <w:szCs w:val="24"/>
          <w:lang w:eastAsia="ru-RU"/>
        </w:rPr>
      </w:pPr>
    </w:p>
    <w:p w:rsidR="00B772E3" w:rsidRPr="00B772E3" w:rsidRDefault="00B772E3" w:rsidP="00B772E3">
      <w:pPr>
        <w:tabs>
          <w:tab w:val="left" w:pos="993"/>
        </w:tabs>
        <w:spacing w:after="0" w:line="240" w:lineRule="auto"/>
        <w:ind w:firstLine="709"/>
        <w:jc w:val="both"/>
        <w:rPr>
          <w:rFonts w:ascii="Times New Roman" w:hAnsi="Times New Roman" w:cs="Times New Roman"/>
          <w:sz w:val="24"/>
          <w:szCs w:val="24"/>
        </w:rPr>
      </w:pPr>
      <w:r w:rsidRPr="00B772E3">
        <w:rPr>
          <w:rFonts w:ascii="Times New Roman" w:hAnsi="Times New Roman" w:cs="Times New Roman"/>
          <w:sz w:val="24"/>
          <w:szCs w:val="24"/>
        </w:rPr>
        <w:t xml:space="preserve">Работа по консолидации электросетевых активов на территории Чеченской Республики выполняется управляющим директором Общества, сотрудниками отдела </w:t>
      </w:r>
      <w:r w:rsidRPr="00B772E3">
        <w:rPr>
          <w:rFonts w:ascii="Times New Roman" w:hAnsi="Times New Roman" w:cs="Times New Roman"/>
          <w:sz w:val="24"/>
          <w:szCs w:val="24"/>
        </w:rPr>
        <w:lastRenderedPageBreak/>
        <w:t xml:space="preserve">управления собственностью, а также сотрудниками компании, исполняющей функции единоличного исполнительного органа </w:t>
      </w:r>
      <w:r>
        <w:rPr>
          <w:rFonts w:ascii="Times New Roman" w:hAnsi="Times New Roman" w:cs="Times New Roman"/>
          <w:sz w:val="24"/>
          <w:szCs w:val="24"/>
        </w:rPr>
        <w:t xml:space="preserve">Общества – </w:t>
      </w:r>
      <w:r w:rsidRPr="00B772E3">
        <w:rPr>
          <w:rFonts w:ascii="Times New Roman" w:hAnsi="Times New Roman" w:cs="Times New Roman"/>
          <w:sz w:val="24"/>
          <w:szCs w:val="24"/>
        </w:rPr>
        <w:t>ПАО «Россети Северный Кавказ».</w:t>
      </w:r>
    </w:p>
    <w:p w:rsidR="00B772E3" w:rsidRPr="00B772E3" w:rsidRDefault="00B772E3" w:rsidP="00B772E3">
      <w:pPr>
        <w:tabs>
          <w:tab w:val="left" w:pos="993"/>
        </w:tabs>
        <w:spacing w:after="0" w:line="240" w:lineRule="auto"/>
        <w:ind w:firstLine="709"/>
        <w:jc w:val="both"/>
        <w:rPr>
          <w:rFonts w:ascii="Times New Roman" w:hAnsi="Times New Roman" w:cs="Times New Roman"/>
          <w:sz w:val="24"/>
          <w:szCs w:val="24"/>
        </w:rPr>
      </w:pPr>
      <w:r w:rsidRPr="00B772E3">
        <w:rPr>
          <w:rFonts w:ascii="Times New Roman" w:hAnsi="Times New Roman" w:cs="Times New Roman"/>
          <w:sz w:val="24"/>
          <w:szCs w:val="24"/>
        </w:rPr>
        <w:t xml:space="preserve">При этом принятие управленческих решений по вопросам консолидации электросетевых активов осуществляется – комиссией ПАО «Россети Северный Кавказ» по консолидации электросетевых активов на основании предоставляемого проекта сделки. Сотрудниками отдела управления собственностью </w:t>
      </w:r>
      <w:r>
        <w:rPr>
          <w:rFonts w:ascii="Times New Roman" w:hAnsi="Times New Roman" w:cs="Times New Roman"/>
          <w:sz w:val="24"/>
          <w:szCs w:val="24"/>
        </w:rPr>
        <w:t>Общества</w:t>
      </w:r>
      <w:r w:rsidRPr="00B772E3">
        <w:rPr>
          <w:rFonts w:ascii="Times New Roman" w:hAnsi="Times New Roman" w:cs="Times New Roman"/>
          <w:sz w:val="24"/>
          <w:szCs w:val="24"/>
        </w:rPr>
        <w:t xml:space="preserve"> совместно с техническими службами </w:t>
      </w:r>
      <w:r>
        <w:rPr>
          <w:rFonts w:ascii="Times New Roman" w:hAnsi="Times New Roman" w:cs="Times New Roman"/>
          <w:sz w:val="24"/>
          <w:szCs w:val="24"/>
        </w:rPr>
        <w:t>Общества</w:t>
      </w:r>
      <w:r w:rsidRPr="00B772E3">
        <w:rPr>
          <w:rFonts w:ascii="Times New Roman" w:hAnsi="Times New Roman" w:cs="Times New Roman"/>
          <w:sz w:val="24"/>
          <w:szCs w:val="24"/>
        </w:rPr>
        <w:t xml:space="preserve"> и иными структурными подразделениями реализуются мероприятия по подготовке проекта сделки (инвентаризация электросетевого имущества, сбор технико-экономических показателей и т.д.).</w:t>
      </w:r>
    </w:p>
    <w:p w:rsidR="00FC4B06" w:rsidRDefault="00B772E3" w:rsidP="00B772E3">
      <w:pPr>
        <w:tabs>
          <w:tab w:val="left" w:pos="993"/>
        </w:tabs>
        <w:spacing w:after="0" w:line="240" w:lineRule="auto"/>
        <w:ind w:firstLine="709"/>
        <w:jc w:val="both"/>
        <w:rPr>
          <w:rFonts w:ascii="Times New Roman" w:hAnsi="Times New Roman" w:cs="Times New Roman"/>
          <w:sz w:val="24"/>
          <w:szCs w:val="24"/>
        </w:rPr>
      </w:pPr>
      <w:r w:rsidRPr="00B772E3">
        <w:rPr>
          <w:rFonts w:ascii="Times New Roman" w:hAnsi="Times New Roman" w:cs="Times New Roman"/>
          <w:sz w:val="24"/>
          <w:szCs w:val="24"/>
        </w:rPr>
        <w:t xml:space="preserve">Программа консолидации электросетевых активов </w:t>
      </w:r>
      <w:r>
        <w:rPr>
          <w:rFonts w:ascii="Times New Roman" w:hAnsi="Times New Roman" w:cs="Times New Roman"/>
          <w:sz w:val="24"/>
          <w:szCs w:val="24"/>
        </w:rPr>
        <w:t>Общества</w:t>
      </w:r>
      <w:r w:rsidRPr="00B772E3">
        <w:rPr>
          <w:rFonts w:ascii="Times New Roman" w:hAnsi="Times New Roman" w:cs="Times New Roman"/>
          <w:sz w:val="24"/>
          <w:szCs w:val="24"/>
        </w:rPr>
        <w:t xml:space="preserve"> не утверждалась.</w:t>
      </w:r>
    </w:p>
    <w:p w:rsidR="00B772E3" w:rsidRPr="00FC4B06" w:rsidRDefault="00B772E3" w:rsidP="00B772E3">
      <w:pPr>
        <w:tabs>
          <w:tab w:val="left" w:pos="993"/>
        </w:tabs>
        <w:spacing w:after="0" w:line="240" w:lineRule="auto"/>
        <w:ind w:firstLine="709"/>
        <w:jc w:val="both"/>
        <w:rPr>
          <w:rFonts w:ascii="Times New Roman" w:hAnsi="Times New Roman" w:cs="Times New Roman"/>
          <w:sz w:val="24"/>
          <w:szCs w:val="24"/>
        </w:rPr>
      </w:pPr>
    </w:p>
    <w:p w:rsidR="00B772E3" w:rsidRPr="00B772E3" w:rsidRDefault="00B772E3" w:rsidP="00B772E3">
      <w:pPr>
        <w:spacing w:after="0" w:line="240" w:lineRule="auto"/>
        <w:jc w:val="center"/>
        <w:rPr>
          <w:rFonts w:ascii="Times New Roman" w:hAnsi="Times New Roman" w:cs="Times New Roman"/>
          <w:b/>
          <w:sz w:val="24"/>
          <w:szCs w:val="28"/>
        </w:rPr>
      </w:pPr>
      <w:r w:rsidRPr="00B772E3">
        <w:rPr>
          <w:rFonts w:ascii="Times New Roman" w:hAnsi="Times New Roman" w:cs="Times New Roman"/>
          <w:b/>
          <w:sz w:val="24"/>
          <w:szCs w:val="28"/>
        </w:rPr>
        <w:t>Мониторинг объемов консолидации электросетевых активов</w:t>
      </w:r>
    </w:p>
    <w:p w:rsidR="00B772E3" w:rsidRPr="00B772E3" w:rsidRDefault="00B772E3" w:rsidP="00B772E3">
      <w:pPr>
        <w:spacing w:after="0" w:line="240" w:lineRule="auto"/>
        <w:jc w:val="center"/>
        <w:rPr>
          <w:rFonts w:ascii="Times New Roman" w:hAnsi="Times New Roman" w:cs="Times New Roman"/>
          <w:b/>
          <w:sz w:val="24"/>
          <w:szCs w:val="28"/>
        </w:rPr>
      </w:pPr>
    </w:p>
    <w:p w:rsidR="00B772E3" w:rsidRPr="00B772E3" w:rsidRDefault="00B772E3" w:rsidP="00B772E3">
      <w:pPr>
        <w:spacing w:after="0" w:line="240" w:lineRule="auto"/>
        <w:jc w:val="both"/>
        <w:rPr>
          <w:rFonts w:ascii="Times New Roman" w:hAnsi="Times New Roman" w:cs="Times New Roman"/>
          <w:b/>
          <w:sz w:val="24"/>
          <w:szCs w:val="28"/>
        </w:rPr>
      </w:pPr>
      <w:r w:rsidRPr="00B772E3">
        <w:rPr>
          <w:rFonts w:ascii="Times New Roman" w:hAnsi="Times New Roman" w:cs="Times New Roman"/>
          <w:b/>
          <w:sz w:val="24"/>
          <w:szCs w:val="28"/>
        </w:rPr>
        <w:t>1. Электросетевые активы, находящиеся в аренде по состоянию на конец отчетного периода:</w:t>
      </w:r>
    </w:p>
    <w:tbl>
      <w:tblPr>
        <w:tblW w:w="5189" w:type="pct"/>
        <w:tblInd w:w="-147" w:type="dxa"/>
        <w:tblLayout w:type="fixed"/>
        <w:tblLook w:val="04A0" w:firstRow="1" w:lastRow="0" w:firstColumn="1" w:lastColumn="0" w:noHBand="0" w:noVBand="1"/>
      </w:tblPr>
      <w:tblGrid>
        <w:gridCol w:w="1812"/>
        <w:gridCol w:w="838"/>
        <w:gridCol w:w="888"/>
        <w:gridCol w:w="910"/>
        <w:gridCol w:w="836"/>
        <w:gridCol w:w="927"/>
        <w:gridCol w:w="846"/>
        <w:gridCol w:w="830"/>
        <w:gridCol w:w="943"/>
        <w:gridCol w:w="867"/>
      </w:tblGrid>
      <w:tr w:rsidR="00B772E3" w:rsidTr="007C4552">
        <w:trPr>
          <w:trHeight w:val="885"/>
        </w:trPr>
        <w:tc>
          <w:tcPr>
            <w:tcW w:w="934"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ind w:firstLine="27"/>
              <w:jc w:val="center"/>
              <w:rPr>
                <w:rFonts w:ascii="Times New Roman" w:hAnsi="Times New Roman" w:cs="Times New Roman"/>
                <w:b/>
                <w:bCs/>
                <w:sz w:val="18"/>
                <w:szCs w:val="18"/>
              </w:rPr>
            </w:pPr>
            <w:r>
              <w:rPr>
                <w:rFonts w:ascii="Times New Roman" w:hAnsi="Times New Roman" w:cs="Times New Roman"/>
                <w:b/>
                <w:bCs/>
                <w:sz w:val="18"/>
                <w:szCs w:val="18"/>
              </w:rPr>
              <w:t>Наименование</w:t>
            </w:r>
          </w:p>
        </w:tc>
        <w:tc>
          <w:tcPr>
            <w:tcW w:w="1359"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 xml:space="preserve">Фактический объём </w:t>
            </w:r>
          </w:p>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на конец 2021 года</w:t>
            </w:r>
          </w:p>
        </w:tc>
        <w:tc>
          <w:tcPr>
            <w:tcW w:w="1345"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 xml:space="preserve">Фактический объём </w:t>
            </w:r>
          </w:p>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на конец 2022 года</w:t>
            </w:r>
          </w:p>
        </w:tc>
        <w:tc>
          <w:tcPr>
            <w:tcW w:w="1361"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 xml:space="preserve">Фактический объём </w:t>
            </w:r>
          </w:p>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на конец 2023 года</w:t>
            </w:r>
          </w:p>
        </w:tc>
      </w:tr>
      <w:tr w:rsidR="00B772E3" w:rsidTr="007C4552">
        <w:trPr>
          <w:trHeight w:val="64"/>
        </w:trPr>
        <w:tc>
          <w:tcPr>
            <w:tcW w:w="934"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ind w:firstLine="709"/>
              <w:jc w:val="both"/>
              <w:rPr>
                <w:rFonts w:ascii="Times New Roman" w:hAnsi="Times New Roman" w:cs="Times New Roman"/>
                <w:b/>
                <w:bCs/>
                <w:sz w:val="18"/>
                <w:szCs w:val="18"/>
              </w:rPr>
            </w:pPr>
          </w:p>
        </w:tc>
        <w:tc>
          <w:tcPr>
            <w:tcW w:w="43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МВА</w:t>
            </w:r>
          </w:p>
        </w:tc>
        <w:tc>
          <w:tcPr>
            <w:tcW w:w="45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Км</w:t>
            </w:r>
          </w:p>
        </w:tc>
        <w:tc>
          <w:tcPr>
            <w:tcW w:w="46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У.е.</w:t>
            </w:r>
          </w:p>
        </w:tc>
        <w:tc>
          <w:tcPr>
            <w:tcW w:w="4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МВА</w:t>
            </w:r>
          </w:p>
        </w:tc>
        <w:tc>
          <w:tcPr>
            <w:tcW w:w="47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Км</w:t>
            </w:r>
          </w:p>
        </w:tc>
        <w:tc>
          <w:tcPr>
            <w:tcW w:w="4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У.е.</w:t>
            </w:r>
          </w:p>
        </w:tc>
        <w:tc>
          <w:tcPr>
            <w:tcW w:w="42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МВА</w:t>
            </w:r>
          </w:p>
        </w:tc>
        <w:tc>
          <w:tcPr>
            <w:tcW w:w="48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Км</w:t>
            </w:r>
          </w:p>
        </w:tc>
        <w:tc>
          <w:tcPr>
            <w:tcW w:w="44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У.е.</w:t>
            </w:r>
          </w:p>
        </w:tc>
      </w:tr>
      <w:tr w:rsidR="00B772E3" w:rsidTr="007C4552">
        <w:trPr>
          <w:trHeight w:val="255"/>
        </w:trPr>
        <w:tc>
          <w:tcPr>
            <w:tcW w:w="934"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1</w:t>
            </w:r>
          </w:p>
        </w:tc>
        <w:tc>
          <w:tcPr>
            <w:tcW w:w="432"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2</w:t>
            </w:r>
          </w:p>
        </w:tc>
        <w:tc>
          <w:tcPr>
            <w:tcW w:w="458"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3</w:t>
            </w:r>
          </w:p>
        </w:tc>
        <w:tc>
          <w:tcPr>
            <w:tcW w:w="469"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4</w:t>
            </w:r>
          </w:p>
        </w:tc>
        <w:tc>
          <w:tcPr>
            <w:tcW w:w="431"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5</w:t>
            </w:r>
          </w:p>
        </w:tc>
        <w:tc>
          <w:tcPr>
            <w:tcW w:w="478"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6</w:t>
            </w:r>
          </w:p>
        </w:tc>
        <w:tc>
          <w:tcPr>
            <w:tcW w:w="436"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7</w:t>
            </w:r>
          </w:p>
        </w:tc>
        <w:tc>
          <w:tcPr>
            <w:tcW w:w="428"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8</w:t>
            </w:r>
          </w:p>
        </w:tc>
        <w:tc>
          <w:tcPr>
            <w:tcW w:w="486"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9</w:t>
            </w:r>
          </w:p>
        </w:tc>
        <w:tc>
          <w:tcPr>
            <w:tcW w:w="447"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F62A11" w:rsidRDefault="00B772E3" w:rsidP="00922A49">
            <w:pPr>
              <w:tabs>
                <w:tab w:val="left" w:pos="993"/>
              </w:tabs>
              <w:spacing w:after="0" w:line="240" w:lineRule="auto"/>
              <w:jc w:val="center"/>
              <w:rPr>
                <w:rFonts w:ascii="Times New Roman" w:hAnsi="Times New Roman" w:cs="Times New Roman"/>
                <w:b/>
                <w:bCs/>
                <w:sz w:val="18"/>
                <w:szCs w:val="18"/>
              </w:rPr>
            </w:pPr>
            <w:r w:rsidRPr="00F62A11">
              <w:rPr>
                <w:rFonts w:ascii="Times New Roman" w:hAnsi="Times New Roman" w:cs="Times New Roman"/>
                <w:b/>
                <w:bCs/>
                <w:sz w:val="18"/>
                <w:szCs w:val="18"/>
              </w:rPr>
              <w:t>10</w:t>
            </w:r>
          </w:p>
        </w:tc>
      </w:tr>
      <w:tr w:rsidR="00B772E3" w:rsidTr="007C4552">
        <w:trPr>
          <w:trHeight w:val="311"/>
        </w:trPr>
        <w:tc>
          <w:tcPr>
            <w:tcW w:w="934" w:type="pct"/>
            <w:tcBorders>
              <w:top w:val="nil"/>
              <w:left w:val="single" w:sz="4" w:space="0" w:color="auto"/>
              <w:bottom w:val="single" w:sz="4" w:space="0" w:color="auto"/>
              <w:right w:val="single" w:sz="4" w:space="0" w:color="auto"/>
            </w:tcBorders>
            <w:vAlign w:val="center"/>
            <w:hideMark/>
          </w:tcPr>
          <w:p w:rsidR="00B772E3" w:rsidRPr="0002677F" w:rsidRDefault="00B772E3" w:rsidP="00922A49">
            <w:pPr>
              <w:tabs>
                <w:tab w:val="left" w:pos="993"/>
              </w:tabs>
              <w:spacing w:after="0" w:line="240" w:lineRule="auto"/>
              <w:rPr>
                <w:rFonts w:ascii="Times New Roman" w:hAnsi="Times New Roman" w:cs="Times New Roman"/>
                <w:sz w:val="18"/>
                <w:szCs w:val="18"/>
              </w:rPr>
            </w:pPr>
            <w:r w:rsidRPr="0002677F">
              <w:rPr>
                <w:rFonts w:ascii="Times New Roman" w:hAnsi="Times New Roman" w:cs="Times New Roman"/>
                <w:sz w:val="18"/>
                <w:szCs w:val="18"/>
              </w:rPr>
              <w:t>Аренда электросетевых объектов</w:t>
            </w:r>
          </w:p>
        </w:tc>
        <w:tc>
          <w:tcPr>
            <w:tcW w:w="432"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Pr>
                <w:rFonts w:ascii="Times New Roman" w:hAnsi="Times New Roman" w:cs="Times New Roman"/>
                <w:sz w:val="18"/>
                <w:szCs w:val="18"/>
              </w:rPr>
              <w:t>219,60</w:t>
            </w:r>
          </w:p>
        </w:tc>
        <w:tc>
          <w:tcPr>
            <w:tcW w:w="458"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1</w:t>
            </w:r>
            <w:r>
              <w:rPr>
                <w:rFonts w:ascii="Times New Roman" w:hAnsi="Times New Roman" w:cs="Times New Roman"/>
                <w:sz w:val="18"/>
                <w:szCs w:val="18"/>
              </w:rPr>
              <w:t> </w:t>
            </w:r>
            <w:r w:rsidRPr="0002677F">
              <w:rPr>
                <w:rFonts w:ascii="Times New Roman" w:hAnsi="Times New Roman" w:cs="Times New Roman"/>
                <w:sz w:val="18"/>
                <w:szCs w:val="18"/>
              </w:rPr>
              <w:t>097</w:t>
            </w:r>
            <w:r>
              <w:rPr>
                <w:rFonts w:ascii="Times New Roman" w:hAnsi="Times New Roman" w:cs="Times New Roman"/>
                <w:sz w:val="18"/>
                <w:szCs w:val="18"/>
              </w:rPr>
              <w:t>,10</w:t>
            </w:r>
          </w:p>
        </w:tc>
        <w:tc>
          <w:tcPr>
            <w:tcW w:w="469"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rPr>
                <w:rFonts w:ascii="Times New Roman" w:hAnsi="Times New Roman" w:cs="Times New Roman"/>
                <w:sz w:val="18"/>
                <w:szCs w:val="18"/>
              </w:rPr>
            </w:pPr>
            <w:r>
              <w:rPr>
                <w:rFonts w:ascii="Times New Roman" w:hAnsi="Times New Roman" w:cs="Times New Roman"/>
                <w:sz w:val="18"/>
                <w:szCs w:val="18"/>
              </w:rPr>
              <w:t>3 937,97</w:t>
            </w:r>
          </w:p>
        </w:tc>
        <w:tc>
          <w:tcPr>
            <w:tcW w:w="431"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219,60</w:t>
            </w:r>
          </w:p>
        </w:tc>
        <w:tc>
          <w:tcPr>
            <w:tcW w:w="478" w:type="pct"/>
            <w:tcBorders>
              <w:top w:val="nil"/>
              <w:left w:val="nil"/>
              <w:bottom w:val="single" w:sz="4" w:space="0" w:color="auto"/>
              <w:right w:val="single" w:sz="4" w:space="0" w:color="auto"/>
            </w:tcBorders>
            <w:vAlign w:val="center"/>
          </w:tcPr>
          <w:p w:rsidR="00B772E3" w:rsidRPr="0002677F" w:rsidRDefault="00B772E3" w:rsidP="007C4552">
            <w:pPr>
              <w:tabs>
                <w:tab w:val="left" w:pos="993"/>
                <w:tab w:val="left" w:pos="1418"/>
                <w:tab w:val="left" w:pos="1843"/>
                <w:tab w:val="left" w:pos="3119"/>
                <w:tab w:val="left" w:pos="3402"/>
              </w:tabs>
              <w:spacing w:after="0" w:line="240" w:lineRule="auto"/>
              <w:rPr>
                <w:rFonts w:ascii="Times New Roman" w:hAnsi="Times New Roman" w:cs="Times New Roman"/>
                <w:sz w:val="18"/>
                <w:szCs w:val="18"/>
              </w:rPr>
            </w:pPr>
            <w:r w:rsidRPr="0002677F">
              <w:rPr>
                <w:rFonts w:ascii="Times New Roman" w:hAnsi="Times New Roman" w:cs="Times New Roman"/>
                <w:sz w:val="18"/>
                <w:szCs w:val="18"/>
              </w:rPr>
              <w:t>1 097,10</w:t>
            </w:r>
          </w:p>
        </w:tc>
        <w:tc>
          <w:tcPr>
            <w:tcW w:w="436"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3 937,97</w:t>
            </w:r>
          </w:p>
        </w:tc>
        <w:tc>
          <w:tcPr>
            <w:tcW w:w="428"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Pr>
                <w:rFonts w:ascii="Times New Roman" w:hAnsi="Times New Roman" w:cs="Times New Roman"/>
                <w:sz w:val="18"/>
                <w:szCs w:val="18"/>
              </w:rPr>
              <w:t>259,60</w:t>
            </w:r>
          </w:p>
        </w:tc>
        <w:tc>
          <w:tcPr>
            <w:tcW w:w="486"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1</w:t>
            </w:r>
            <w:r>
              <w:rPr>
                <w:rFonts w:ascii="Times New Roman" w:hAnsi="Times New Roman" w:cs="Times New Roman"/>
                <w:sz w:val="18"/>
                <w:szCs w:val="18"/>
              </w:rPr>
              <w:t> </w:t>
            </w:r>
            <w:r w:rsidRPr="0002677F">
              <w:rPr>
                <w:rFonts w:ascii="Times New Roman" w:hAnsi="Times New Roman" w:cs="Times New Roman"/>
                <w:sz w:val="18"/>
                <w:szCs w:val="18"/>
              </w:rPr>
              <w:t>097</w:t>
            </w:r>
            <w:r>
              <w:rPr>
                <w:rFonts w:ascii="Times New Roman" w:hAnsi="Times New Roman" w:cs="Times New Roman"/>
                <w:sz w:val="18"/>
                <w:szCs w:val="18"/>
              </w:rPr>
              <w:t>,10</w:t>
            </w:r>
          </w:p>
        </w:tc>
        <w:tc>
          <w:tcPr>
            <w:tcW w:w="447"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Pr>
                <w:rFonts w:ascii="Times New Roman" w:hAnsi="Times New Roman" w:cs="Times New Roman"/>
                <w:sz w:val="18"/>
                <w:szCs w:val="18"/>
              </w:rPr>
              <w:t>3 945,77</w:t>
            </w:r>
          </w:p>
        </w:tc>
      </w:tr>
    </w:tbl>
    <w:p w:rsidR="00B772E3" w:rsidRDefault="00B772E3" w:rsidP="00B772E3">
      <w:pPr>
        <w:tabs>
          <w:tab w:val="left" w:pos="993"/>
        </w:tabs>
        <w:spacing w:after="0" w:line="240" w:lineRule="auto"/>
        <w:jc w:val="both"/>
        <w:rPr>
          <w:rFonts w:ascii="Times New Roman" w:hAnsi="Times New Roman" w:cs="Times New Roman"/>
          <w:sz w:val="24"/>
          <w:szCs w:val="24"/>
        </w:rPr>
      </w:pPr>
    </w:p>
    <w:p w:rsidR="00B772E3" w:rsidRPr="00B772E3" w:rsidRDefault="00B772E3" w:rsidP="00B772E3">
      <w:pPr>
        <w:tabs>
          <w:tab w:val="left" w:pos="993"/>
        </w:tabs>
        <w:spacing w:after="0" w:line="240" w:lineRule="auto"/>
        <w:jc w:val="both"/>
        <w:rPr>
          <w:rFonts w:ascii="Times New Roman" w:hAnsi="Times New Roman" w:cs="Times New Roman"/>
          <w:b/>
          <w:sz w:val="24"/>
          <w:szCs w:val="24"/>
        </w:rPr>
      </w:pPr>
      <w:r w:rsidRPr="00B772E3">
        <w:rPr>
          <w:rFonts w:ascii="Times New Roman" w:hAnsi="Times New Roman" w:cs="Times New Roman"/>
          <w:b/>
          <w:sz w:val="24"/>
          <w:szCs w:val="24"/>
        </w:rPr>
        <w:t>2. Выявленные бесхозяйные электросетевые активы, на которые признано право собственности в судебном порядке в отчетном периоде:</w:t>
      </w:r>
    </w:p>
    <w:tbl>
      <w:tblPr>
        <w:tblW w:w="5128" w:type="pct"/>
        <w:tblLayout w:type="fixed"/>
        <w:tblLook w:val="04A0" w:firstRow="1" w:lastRow="0" w:firstColumn="1" w:lastColumn="0" w:noHBand="0" w:noVBand="1"/>
      </w:tblPr>
      <w:tblGrid>
        <w:gridCol w:w="1811"/>
        <w:gridCol w:w="838"/>
        <w:gridCol w:w="838"/>
        <w:gridCol w:w="843"/>
        <w:gridCol w:w="836"/>
        <w:gridCol w:w="841"/>
        <w:gridCol w:w="937"/>
        <w:gridCol w:w="832"/>
        <w:gridCol w:w="943"/>
        <w:gridCol w:w="864"/>
      </w:tblGrid>
      <w:tr w:rsidR="00B772E3" w:rsidTr="007C4552">
        <w:trPr>
          <w:trHeight w:val="902"/>
        </w:trPr>
        <w:tc>
          <w:tcPr>
            <w:tcW w:w="945"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ind w:firstLine="27"/>
              <w:jc w:val="center"/>
              <w:rPr>
                <w:rFonts w:ascii="Times New Roman" w:hAnsi="Times New Roman" w:cs="Times New Roman"/>
                <w:b/>
                <w:bCs/>
                <w:sz w:val="18"/>
                <w:szCs w:val="18"/>
              </w:rPr>
            </w:pPr>
            <w:r>
              <w:rPr>
                <w:rFonts w:ascii="Times New Roman" w:hAnsi="Times New Roman" w:cs="Times New Roman"/>
                <w:b/>
                <w:bCs/>
                <w:sz w:val="18"/>
                <w:szCs w:val="18"/>
              </w:rPr>
              <w:t>Наименование</w:t>
            </w:r>
          </w:p>
        </w:tc>
        <w:tc>
          <w:tcPr>
            <w:tcW w:w="1313"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Pr="00B900A1" w:rsidRDefault="00B772E3" w:rsidP="00922A49">
            <w:pPr>
              <w:pStyle w:val="af5"/>
              <w:jc w:val="center"/>
              <w:rPr>
                <w:b/>
                <w:bCs/>
                <w:sz w:val="18"/>
                <w:szCs w:val="18"/>
              </w:rPr>
            </w:pPr>
            <w:r>
              <w:rPr>
                <w:b/>
                <w:bCs/>
                <w:sz w:val="18"/>
                <w:szCs w:val="18"/>
              </w:rPr>
              <w:t>за 2021 год</w:t>
            </w:r>
          </w:p>
        </w:tc>
        <w:tc>
          <w:tcPr>
            <w:tcW w:w="1363"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за 2022 год</w:t>
            </w:r>
          </w:p>
        </w:tc>
        <w:tc>
          <w:tcPr>
            <w:tcW w:w="1379"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Pr>
                <w:rFonts w:ascii="Times New Roman" w:hAnsi="Times New Roman" w:cs="Times New Roman"/>
                <w:b/>
                <w:bCs/>
                <w:sz w:val="18"/>
                <w:szCs w:val="18"/>
              </w:rPr>
              <w:t>за 2023 год</w:t>
            </w:r>
          </w:p>
        </w:tc>
      </w:tr>
      <w:tr w:rsidR="00B772E3" w:rsidTr="007C4552">
        <w:trPr>
          <w:trHeight w:val="64"/>
        </w:trPr>
        <w:tc>
          <w:tcPr>
            <w:tcW w:w="945"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ind w:firstLine="709"/>
              <w:jc w:val="both"/>
              <w:rPr>
                <w:rFonts w:ascii="Times New Roman" w:hAnsi="Times New Roman" w:cs="Times New Roman"/>
                <w:b/>
                <w:bCs/>
                <w:sz w:val="18"/>
                <w:szCs w:val="18"/>
              </w:rPr>
            </w:pPr>
          </w:p>
        </w:tc>
        <w:tc>
          <w:tcPr>
            <w:tcW w:w="4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МВА</w:t>
            </w:r>
          </w:p>
        </w:tc>
        <w:tc>
          <w:tcPr>
            <w:tcW w:w="43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Км</w:t>
            </w:r>
          </w:p>
        </w:tc>
        <w:tc>
          <w:tcPr>
            <w:tcW w:w="44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У.е.</w:t>
            </w:r>
          </w:p>
        </w:tc>
        <w:tc>
          <w:tcPr>
            <w:tcW w:w="4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МВА</w:t>
            </w:r>
          </w:p>
        </w:tc>
        <w:tc>
          <w:tcPr>
            <w:tcW w:w="43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Км</w:t>
            </w:r>
          </w:p>
        </w:tc>
        <w:tc>
          <w:tcPr>
            <w:tcW w:w="4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У.е.</w:t>
            </w:r>
          </w:p>
        </w:tc>
        <w:tc>
          <w:tcPr>
            <w:tcW w:w="4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МВА</w:t>
            </w:r>
          </w:p>
        </w:tc>
        <w:tc>
          <w:tcPr>
            <w:tcW w:w="49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Км</w:t>
            </w:r>
          </w:p>
        </w:tc>
        <w:tc>
          <w:tcPr>
            <w:tcW w:w="45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У.е.</w:t>
            </w:r>
          </w:p>
        </w:tc>
      </w:tr>
      <w:tr w:rsidR="00B772E3" w:rsidTr="007C4552">
        <w:trPr>
          <w:trHeight w:val="255"/>
        </w:trPr>
        <w:tc>
          <w:tcPr>
            <w:tcW w:w="945" w:type="pc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1</w:t>
            </w:r>
          </w:p>
        </w:tc>
        <w:tc>
          <w:tcPr>
            <w:tcW w:w="437"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2</w:t>
            </w:r>
          </w:p>
        </w:tc>
        <w:tc>
          <w:tcPr>
            <w:tcW w:w="437"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3</w:t>
            </w:r>
          </w:p>
        </w:tc>
        <w:tc>
          <w:tcPr>
            <w:tcW w:w="440"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4</w:t>
            </w:r>
          </w:p>
        </w:tc>
        <w:tc>
          <w:tcPr>
            <w:tcW w:w="436"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5</w:t>
            </w:r>
          </w:p>
        </w:tc>
        <w:tc>
          <w:tcPr>
            <w:tcW w:w="439"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6</w:t>
            </w:r>
          </w:p>
        </w:tc>
        <w:tc>
          <w:tcPr>
            <w:tcW w:w="489"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7</w:t>
            </w:r>
          </w:p>
        </w:tc>
        <w:tc>
          <w:tcPr>
            <w:tcW w:w="434"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8</w:t>
            </w:r>
          </w:p>
        </w:tc>
        <w:tc>
          <w:tcPr>
            <w:tcW w:w="492"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9</w:t>
            </w:r>
          </w:p>
        </w:tc>
        <w:tc>
          <w:tcPr>
            <w:tcW w:w="453" w:type="pct"/>
            <w:tcBorders>
              <w:top w:val="nil"/>
              <w:left w:val="nil"/>
              <w:bottom w:val="single" w:sz="4" w:space="0" w:color="auto"/>
              <w:right w:val="single" w:sz="4" w:space="0" w:color="auto"/>
            </w:tcBorders>
            <w:shd w:val="clear" w:color="auto" w:fill="D9D9D9" w:themeFill="background1" w:themeFillShade="D9"/>
            <w:vAlign w:val="center"/>
            <w:hideMark/>
          </w:tcPr>
          <w:p w:rsidR="00B772E3" w:rsidRPr="00B900A1" w:rsidRDefault="00B772E3" w:rsidP="00922A49">
            <w:pPr>
              <w:tabs>
                <w:tab w:val="left" w:pos="993"/>
              </w:tabs>
              <w:spacing w:after="0" w:line="240" w:lineRule="auto"/>
              <w:jc w:val="center"/>
              <w:rPr>
                <w:rFonts w:ascii="Times New Roman" w:hAnsi="Times New Roman" w:cs="Times New Roman"/>
                <w:b/>
                <w:bCs/>
                <w:sz w:val="18"/>
                <w:szCs w:val="18"/>
              </w:rPr>
            </w:pPr>
            <w:r w:rsidRPr="00B900A1">
              <w:rPr>
                <w:rFonts w:ascii="Times New Roman" w:hAnsi="Times New Roman" w:cs="Times New Roman"/>
                <w:b/>
                <w:bCs/>
                <w:sz w:val="18"/>
                <w:szCs w:val="18"/>
              </w:rPr>
              <w:t>10</w:t>
            </w:r>
          </w:p>
        </w:tc>
      </w:tr>
      <w:tr w:rsidR="00B772E3" w:rsidTr="007C4552">
        <w:trPr>
          <w:trHeight w:val="437"/>
        </w:trPr>
        <w:tc>
          <w:tcPr>
            <w:tcW w:w="945" w:type="pct"/>
            <w:tcBorders>
              <w:top w:val="nil"/>
              <w:left w:val="single" w:sz="4" w:space="0" w:color="auto"/>
              <w:bottom w:val="single" w:sz="4" w:space="0" w:color="auto"/>
              <w:right w:val="single" w:sz="4" w:space="0" w:color="auto"/>
            </w:tcBorders>
            <w:vAlign w:val="center"/>
            <w:hideMark/>
          </w:tcPr>
          <w:p w:rsidR="00B772E3" w:rsidRPr="0002677F" w:rsidRDefault="00B772E3" w:rsidP="00922A49">
            <w:pPr>
              <w:tabs>
                <w:tab w:val="left" w:pos="993"/>
              </w:tabs>
              <w:spacing w:after="0" w:line="240" w:lineRule="auto"/>
              <w:rPr>
                <w:rFonts w:ascii="Times New Roman" w:hAnsi="Times New Roman" w:cs="Times New Roman"/>
                <w:sz w:val="18"/>
                <w:szCs w:val="18"/>
              </w:rPr>
            </w:pPr>
            <w:r w:rsidRPr="0002677F">
              <w:rPr>
                <w:rFonts w:ascii="Times New Roman" w:hAnsi="Times New Roman" w:cs="Times New Roman"/>
                <w:sz w:val="18"/>
                <w:szCs w:val="18"/>
              </w:rPr>
              <w:t>Прочее (постоянные права владения и пользования)</w:t>
            </w:r>
          </w:p>
        </w:tc>
        <w:tc>
          <w:tcPr>
            <w:tcW w:w="437"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0</w:t>
            </w:r>
          </w:p>
        </w:tc>
        <w:tc>
          <w:tcPr>
            <w:tcW w:w="437"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0</w:t>
            </w:r>
          </w:p>
        </w:tc>
        <w:tc>
          <w:tcPr>
            <w:tcW w:w="440"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0</w:t>
            </w:r>
          </w:p>
        </w:tc>
        <w:tc>
          <w:tcPr>
            <w:tcW w:w="436"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64,36</w:t>
            </w:r>
          </w:p>
        </w:tc>
        <w:tc>
          <w:tcPr>
            <w:tcW w:w="439"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900,42</w:t>
            </w:r>
          </w:p>
        </w:tc>
        <w:tc>
          <w:tcPr>
            <w:tcW w:w="489" w:type="pct"/>
            <w:tcBorders>
              <w:top w:val="nil"/>
              <w:left w:val="nil"/>
              <w:bottom w:val="single" w:sz="4" w:space="0" w:color="auto"/>
              <w:right w:val="single" w:sz="4" w:space="0" w:color="auto"/>
            </w:tcBorders>
            <w:vAlign w:val="center"/>
          </w:tcPr>
          <w:p w:rsidR="00B772E3" w:rsidRPr="0002677F" w:rsidRDefault="00B772E3" w:rsidP="007C4552">
            <w:pPr>
              <w:tabs>
                <w:tab w:val="left" w:pos="993"/>
                <w:tab w:val="left" w:pos="1418"/>
                <w:tab w:val="left" w:pos="1843"/>
                <w:tab w:val="left" w:pos="3119"/>
                <w:tab w:val="left" w:pos="3402"/>
              </w:tabs>
              <w:spacing w:after="0" w:line="240" w:lineRule="auto"/>
              <w:rPr>
                <w:rFonts w:ascii="Times New Roman" w:hAnsi="Times New Roman" w:cs="Times New Roman"/>
                <w:sz w:val="18"/>
                <w:szCs w:val="18"/>
              </w:rPr>
            </w:pPr>
            <w:r w:rsidRPr="0002677F">
              <w:rPr>
                <w:rFonts w:ascii="Times New Roman" w:hAnsi="Times New Roman" w:cs="Times New Roman"/>
                <w:sz w:val="18"/>
                <w:szCs w:val="18"/>
              </w:rPr>
              <w:t>2 187,12</w:t>
            </w:r>
          </w:p>
        </w:tc>
        <w:tc>
          <w:tcPr>
            <w:tcW w:w="434"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0,8</w:t>
            </w:r>
            <w:r>
              <w:rPr>
                <w:rFonts w:ascii="Times New Roman" w:hAnsi="Times New Roman" w:cs="Times New Roman"/>
                <w:sz w:val="18"/>
                <w:szCs w:val="18"/>
              </w:rPr>
              <w:t>0</w:t>
            </w:r>
          </w:p>
        </w:tc>
        <w:tc>
          <w:tcPr>
            <w:tcW w:w="492"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sidRPr="0002677F">
              <w:rPr>
                <w:rFonts w:ascii="Times New Roman" w:hAnsi="Times New Roman" w:cs="Times New Roman"/>
                <w:sz w:val="18"/>
                <w:szCs w:val="18"/>
              </w:rPr>
              <w:t>4,3</w:t>
            </w:r>
            <w:r>
              <w:rPr>
                <w:rFonts w:ascii="Times New Roman" w:hAnsi="Times New Roman" w:cs="Times New Roman"/>
                <w:sz w:val="18"/>
                <w:szCs w:val="18"/>
              </w:rPr>
              <w:t>0</w:t>
            </w:r>
          </w:p>
        </w:tc>
        <w:tc>
          <w:tcPr>
            <w:tcW w:w="453" w:type="pct"/>
            <w:tcBorders>
              <w:top w:val="nil"/>
              <w:left w:val="nil"/>
              <w:bottom w:val="single" w:sz="4" w:space="0" w:color="auto"/>
              <w:right w:val="single" w:sz="4" w:space="0" w:color="auto"/>
            </w:tcBorders>
            <w:vAlign w:val="center"/>
          </w:tcPr>
          <w:p w:rsidR="00B772E3" w:rsidRPr="0002677F" w:rsidRDefault="00B772E3" w:rsidP="00922A49">
            <w:pPr>
              <w:tabs>
                <w:tab w:val="left" w:pos="993"/>
                <w:tab w:val="left" w:pos="1418"/>
                <w:tab w:val="left" w:pos="1843"/>
                <w:tab w:val="left" w:pos="3119"/>
                <w:tab w:val="left" w:pos="3402"/>
              </w:tabs>
              <w:spacing w:after="0" w:line="240" w:lineRule="auto"/>
              <w:jc w:val="center"/>
              <w:rPr>
                <w:rFonts w:ascii="Times New Roman" w:hAnsi="Times New Roman" w:cs="Times New Roman"/>
                <w:sz w:val="18"/>
                <w:szCs w:val="18"/>
              </w:rPr>
            </w:pPr>
            <w:r>
              <w:rPr>
                <w:rFonts w:ascii="Times New Roman" w:hAnsi="Times New Roman" w:cs="Times New Roman"/>
                <w:sz w:val="18"/>
                <w:szCs w:val="18"/>
              </w:rPr>
              <w:t>16,23</w:t>
            </w:r>
          </w:p>
        </w:tc>
      </w:tr>
    </w:tbl>
    <w:p w:rsidR="00B772E3" w:rsidRDefault="00B772E3" w:rsidP="00B772E3">
      <w:pPr>
        <w:tabs>
          <w:tab w:val="left" w:pos="993"/>
        </w:tabs>
        <w:spacing w:after="0" w:line="240" w:lineRule="auto"/>
        <w:ind w:firstLine="709"/>
        <w:jc w:val="both"/>
        <w:rPr>
          <w:rFonts w:ascii="Times New Roman" w:hAnsi="Times New Roman" w:cs="Times New Roman"/>
          <w:sz w:val="24"/>
          <w:szCs w:val="24"/>
        </w:rPr>
      </w:pPr>
    </w:p>
    <w:p w:rsidR="00B772E3" w:rsidRPr="00B772E3" w:rsidRDefault="00B772E3" w:rsidP="00B772E3">
      <w:pPr>
        <w:spacing w:after="0" w:line="240" w:lineRule="auto"/>
        <w:ind w:firstLine="709"/>
        <w:jc w:val="both"/>
        <w:rPr>
          <w:rFonts w:ascii="Times New Roman" w:hAnsi="Times New Roman" w:cs="Times New Roman"/>
          <w:sz w:val="24"/>
          <w:szCs w:val="28"/>
        </w:rPr>
      </w:pPr>
      <w:r>
        <w:rPr>
          <w:rFonts w:ascii="Times New Roman" w:hAnsi="Times New Roman" w:cs="Times New Roman"/>
          <w:sz w:val="24"/>
          <w:szCs w:val="28"/>
        </w:rPr>
        <w:t>Общество</w:t>
      </w:r>
      <w:r w:rsidRPr="00B772E3">
        <w:rPr>
          <w:rFonts w:ascii="Times New Roman" w:hAnsi="Times New Roman" w:cs="Times New Roman"/>
          <w:sz w:val="24"/>
          <w:szCs w:val="28"/>
        </w:rPr>
        <w:t xml:space="preserve"> эксплуатирует электросетевое имущество по договорам аренды:</w:t>
      </w:r>
    </w:p>
    <w:p w:rsidR="00B772E3" w:rsidRPr="00B772E3" w:rsidRDefault="00B772E3" w:rsidP="00B772E3">
      <w:pPr>
        <w:spacing w:after="0" w:line="240" w:lineRule="auto"/>
        <w:ind w:firstLine="709"/>
        <w:jc w:val="both"/>
        <w:rPr>
          <w:rFonts w:ascii="Times New Roman" w:hAnsi="Times New Roman" w:cs="Times New Roman"/>
          <w:sz w:val="24"/>
          <w:szCs w:val="28"/>
        </w:rPr>
      </w:pPr>
      <w:r w:rsidRPr="00B772E3">
        <w:rPr>
          <w:rFonts w:ascii="Times New Roman" w:hAnsi="Times New Roman" w:cs="Times New Roman"/>
          <w:sz w:val="24"/>
          <w:szCs w:val="28"/>
        </w:rPr>
        <w:t>– 01.01.2019 № 99-31-2019 (ООО «Россети Капитал»);</w:t>
      </w:r>
    </w:p>
    <w:p w:rsidR="00B772E3" w:rsidRPr="00B772E3" w:rsidRDefault="00B772E3" w:rsidP="00B772E3">
      <w:pPr>
        <w:spacing w:after="0" w:line="240" w:lineRule="auto"/>
        <w:ind w:firstLine="709"/>
        <w:jc w:val="both"/>
        <w:rPr>
          <w:rFonts w:ascii="Times New Roman" w:hAnsi="Times New Roman" w:cs="Times New Roman"/>
          <w:sz w:val="24"/>
          <w:szCs w:val="28"/>
        </w:rPr>
      </w:pPr>
      <w:r w:rsidRPr="00B772E3">
        <w:rPr>
          <w:rFonts w:ascii="Times New Roman" w:hAnsi="Times New Roman" w:cs="Times New Roman"/>
          <w:sz w:val="24"/>
          <w:szCs w:val="28"/>
        </w:rPr>
        <w:t>– 01.10.2013 № 1 (ОАО «Нурэнерго»);</w:t>
      </w:r>
    </w:p>
    <w:p w:rsidR="00B772E3" w:rsidRPr="00B772E3" w:rsidRDefault="00B772E3" w:rsidP="00B772E3">
      <w:pPr>
        <w:spacing w:after="0" w:line="240" w:lineRule="auto"/>
        <w:ind w:firstLine="709"/>
        <w:jc w:val="both"/>
        <w:rPr>
          <w:rFonts w:ascii="Times New Roman" w:hAnsi="Times New Roman" w:cs="Times New Roman"/>
          <w:sz w:val="24"/>
          <w:szCs w:val="28"/>
        </w:rPr>
      </w:pPr>
      <w:r w:rsidRPr="00B772E3">
        <w:rPr>
          <w:rFonts w:ascii="Times New Roman" w:hAnsi="Times New Roman" w:cs="Times New Roman"/>
          <w:sz w:val="24"/>
          <w:szCs w:val="28"/>
        </w:rPr>
        <w:t>– 11.05.2023 № 255 (ПАО «Россети»).</w:t>
      </w:r>
    </w:p>
    <w:p w:rsidR="00B772E3" w:rsidRPr="00B772E3" w:rsidRDefault="00B772E3" w:rsidP="00B772E3">
      <w:pPr>
        <w:tabs>
          <w:tab w:val="left" w:pos="993"/>
        </w:tabs>
        <w:spacing w:after="0" w:line="240" w:lineRule="auto"/>
        <w:ind w:firstLine="709"/>
        <w:jc w:val="both"/>
        <w:rPr>
          <w:rFonts w:ascii="Times New Roman" w:hAnsi="Times New Roman" w:cs="Times New Roman"/>
          <w:b/>
          <w:sz w:val="24"/>
          <w:szCs w:val="28"/>
        </w:rPr>
      </w:pPr>
    </w:p>
    <w:p w:rsidR="00B772E3" w:rsidRPr="00B772E3" w:rsidRDefault="00B772E3" w:rsidP="00B772E3">
      <w:pPr>
        <w:tabs>
          <w:tab w:val="left" w:pos="993"/>
        </w:tabs>
        <w:spacing w:after="0" w:line="240" w:lineRule="auto"/>
        <w:ind w:firstLine="709"/>
        <w:jc w:val="center"/>
        <w:rPr>
          <w:rFonts w:ascii="Times New Roman" w:hAnsi="Times New Roman" w:cs="Times New Roman"/>
          <w:b/>
          <w:sz w:val="24"/>
          <w:szCs w:val="28"/>
        </w:rPr>
      </w:pPr>
      <w:r w:rsidRPr="00B772E3">
        <w:rPr>
          <w:rFonts w:ascii="Times New Roman" w:hAnsi="Times New Roman" w:cs="Times New Roman"/>
          <w:b/>
          <w:sz w:val="24"/>
          <w:szCs w:val="28"/>
        </w:rPr>
        <w:t xml:space="preserve">Доля </w:t>
      </w:r>
      <w:r>
        <w:rPr>
          <w:rFonts w:ascii="Times New Roman" w:hAnsi="Times New Roman" w:cs="Times New Roman"/>
          <w:b/>
          <w:sz w:val="24"/>
          <w:szCs w:val="28"/>
        </w:rPr>
        <w:t>Общества</w:t>
      </w:r>
      <w:r w:rsidRPr="00B772E3">
        <w:rPr>
          <w:rFonts w:ascii="Times New Roman" w:hAnsi="Times New Roman" w:cs="Times New Roman"/>
          <w:b/>
          <w:sz w:val="24"/>
          <w:szCs w:val="28"/>
        </w:rPr>
        <w:t xml:space="preserve"> в НВВ региона обслуживания</w:t>
      </w:r>
    </w:p>
    <w:p w:rsidR="00B772E3" w:rsidRPr="00092DEE" w:rsidRDefault="00B772E3" w:rsidP="00B772E3">
      <w:pPr>
        <w:tabs>
          <w:tab w:val="left" w:pos="993"/>
        </w:tabs>
        <w:spacing w:after="0" w:line="240" w:lineRule="auto"/>
        <w:ind w:firstLine="709"/>
        <w:jc w:val="both"/>
        <w:rPr>
          <w:rFonts w:ascii="Times New Roman" w:hAnsi="Times New Roman" w:cs="Times New Roman"/>
          <w:b/>
          <w:sz w:val="28"/>
          <w:szCs w:val="28"/>
        </w:rPr>
      </w:pPr>
    </w:p>
    <w:p w:rsidR="00B772E3" w:rsidRPr="00B772E3" w:rsidRDefault="00B772E3" w:rsidP="00B772E3">
      <w:pPr>
        <w:tabs>
          <w:tab w:val="left" w:pos="993"/>
        </w:tabs>
        <w:spacing w:after="0" w:line="240" w:lineRule="auto"/>
        <w:ind w:firstLine="709"/>
        <w:jc w:val="both"/>
        <w:rPr>
          <w:rFonts w:ascii="Times New Roman" w:hAnsi="Times New Roman" w:cs="Times New Roman"/>
          <w:sz w:val="24"/>
          <w:szCs w:val="28"/>
        </w:rPr>
      </w:pPr>
      <w:r w:rsidRPr="00B772E3">
        <w:rPr>
          <w:rFonts w:ascii="Times New Roman" w:hAnsi="Times New Roman" w:cs="Times New Roman"/>
          <w:sz w:val="24"/>
          <w:szCs w:val="28"/>
        </w:rPr>
        <w:t xml:space="preserve">На территории Чеченской Республики помимо </w:t>
      </w:r>
      <w:r>
        <w:rPr>
          <w:rFonts w:ascii="Times New Roman" w:hAnsi="Times New Roman" w:cs="Times New Roman"/>
          <w:sz w:val="24"/>
          <w:szCs w:val="28"/>
        </w:rPr>
        <w:t>Общества</w:t>
      </w:r>
      <w:r w:rsidRPr="00B772E3">
        <w:rPr>
          <w:rFonts w:ascii="Times New Roman" w:hAnsi="Times New Roman" w:cs="Times New Roman"/>
          <w:sz w:val="24"/>
          <w:szCs w:val="28"/>
        </w:rPr>
        <w:t xml:space="preserve"> </w:t>
      </w:r>
      <w:r w:rsidRPr="00B772E3">
        <w:rPr>
          <w:rFonts w:ascii="Times New Roman" w:hAnsi="Times New Roman" w:cs="Times New Roman"/>
          <w:sz w:val="24"/>
          <w:szCs w:val="28"/>
        </w:rPr>
        <w:br/>
        <w:t xml:space="preserve">в 2023 году Государственным комитетом цен и тарифов Чеченской </w:t>
      </w:r>
      <w:r w:rsidRPr="00B772E3">
        <w:rPr>
          <w:rFonts w:ascii="Times New Roman" w:hAnsi="Times New Roman" w:cs="Times New Roman"/>
          <w:sz w:val="24"/>
          <w:szCs w:val="28"/>
        </w:rPr>
        <w:br/>
        <w:t>Республики в статусе территориальной сетевой организации утверждены АО «Чеченэнерго», ОАО «РЖД – «Трансэнерго» – «Северо-Кавказская ЖД» и АО</w:t>
      </w:r>
      <w:r>
        <w:rPr>
          <w:rFonts w:ascii="Times New Roman" w:hAnsi="Times New Roman" w:cs="Times New Roman"/>
          <w:sz w:val="24"/>
          <w:szCs w:val="28"/>
        </w:rPr>
        <w:t> </w:t>
      </w:r>
      <w:r w:rsidRPr="00B772E3">
        <w:rPr>
          <w:rFonts w:ascii="Times New Roman" w:hAnsi="Times New Roman" w:cs="Times New Roman"/>
          <w:sz w:val="24"/>
          <w:szCs w:val="28"/>
        </w:rPr>
        <w:t>«Оборонэнерго».</w:t>
      </w:r>
    </w:p>
    <w:p w:rsidR="00B772E3" w:rsidRDefault="00B772E3" w:rsidP="00B772E3">
      <w:pPr>
        <w:tabs>
          <w:tab w:val="left" w:pos="993"/>
        </w:tabs>
        <w:spacing w:after="0" w:line="240" w:lineRule="auto"/>
        <w:ind w:firstLine="709"/>
        <w:jc w:val="center"/>
        <w:rPr>
          <w:rFonts w:ascii="Times New Roman" w:hAnsi="Times New Roman" w:cs="Times New Roman"/>
          <w:b/>
          <w:sz w:val="28"/>
          <w:szCs w:val="28"/>
        </w:rPr>
      </w:pPr>
    </w:p>
    <w:p w:rsidR="00B772E3" w:rsidRPr="00B772E3" w:rsidRDefault="00B772E3" w:rsidP="00B772E3">
      <w:pPr>
        <w:tabs>
          <w:tab w:val="left" w:pos="993"/>
        </w:tabs>
        <w:spacing w:after="0" w:line="240" w:lineRule="auto"/>
        <w:ind w:firstLine="709"/>
        <w:jc w:val="center"/>
        <w:rPr>
          <w:rFonts w:ascii="Times New Roman" w:hAnsi="Times New Roman" w:cs="Times New Roman"/>
          <w:b/>
          <w:sz w:val="24"/>
          <w:szCs w:val="28"/>
        </w:rPr>
      </w:pPr>
      <w:r w:rsidRPr="00B772E3">
        <w:rPr>
          <w:rFonts w:ascii="Times New Roman" w:hAnsi="Times New Roman" w:cs="Times New Roman"/>
          <w:b/>
          <w:sz w:val="24"/>
          <w:szCs w:val="28"/>
        </w:rPr>
        <w:t>Доля</w:t>
      </w:r>
      <w:r>
        <w:rPr>
          <w:rFonts w:ascii="Times New Roman" w:hAnsi="Times New Roman" w:cs="Times New Roman"/>
          <w:b/>
          <w:sz w:val="24"/>
          <w:szCs w:val="28"/>
        </w:rPr>
        <w:t xml:space="preserve"> Общества</w:t>
      </w:r>
      <w:r w:rsidRPr="00B772E3">
        <w:rPr>
          <w:rFonts w:ascii="Times New Roman" w:hAnsi="Times New Roman" w:cs="Times New Roman"/>
          <w:b/>
          <w:sz w:val="24"/>
          <w:szCs w:val="28"/>
        </w:rPr>
        <w:t xml:space="preserve"> в НВВ (без учета оплаты потерь) региона обслуживания</w:t>
      </w: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137"/>
        <w:gridCol w:w="3165"/>
      </w:tblGrid>
      <w:tr w:rsidR="00B772E3" w:rsidTr="00B772E3">
        <w:tc>
          <w:tcPr>
            <w:tcW w:w="3052" w:type="dxa"/>
          </w:tcPr>
          <w:p w:rsidR="00B772E3" w:rsidRDefault="00B772E3" w:rsidP="00922A49">
            <w:pPr>
              <w:tabs>
                <w:tab w:val="left" w:pos="142"/>
                <w:tab w:val="left" w:pos="993"/>
                <w:tab w:val="left" w:pos="9356"/>
              </w:tabs>
              <w:jc w:val="both"/>
              <w:rPr>
                <w:b/>
                <w:sz w:val="28"/>
                <w:szCs w:val="28"/>
              </w:rPr>
            </w:pPr>
            <w:r w:rsidRPr="008E40F9">
              <w:rPr>
                <w:noProof/>
              </w:rPr>
              <w:lastRenderedPageBreak/>
              <w:drawing>
                <wp:inline distT="0" distB="0" distL="0" distR="0" wp14:anchorId="7896E855" wp14:editId="505BF412">
                  <wp:extent cx="1914525" cy="219075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c>
          <w:tcPr>
            <w:tcW w:w="3137" w:type="dxa"/>
          </w:tcPr>
          <w:p w:rsidR="00B772E3" w:rsidRDefault="00B772E3" w:rsidP="00922A49">
            <w:pPr>
              <w:tabs>
                <w:tab w:val="left" w:pos="142"/>
                <w:tab w:val="left" w:pos="993"/>
                <w:tab w:val="left" w:pos="9356"/>
              </w:tabs>
              <w:jc w:val="both"/>
              <w:rPr>
                <w:b/>
                <w:sz w:val="28"/>
                <w:szCs w:val="28"/>
              </w:rPr>
            </w:pPr>
            <w:r w:rsidRPr="008E40F9">
              <w:rPr>
                <w:noProof/>
              </w:rPr>
              <w:drawing>
                <wp:inline distT="0" distB="0" distL="0" distR="0" wp14:anchorId="72AF45A8" wp14:editId="4910262E">
                  <wp:extent cx="1971675" cy="2181225"/>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c>
          <w:tcPr>
            <w:tcW w:w="3165" w:type="dxa"/>
          </w:tcPr>
          <w:p w:rsidR="00B772E3" w:rsidRDefault="00B772E3" w:rsidP="00922A49">
            <w:pPr>
              <w:tabs>
                <w:tab w:val="left" w:pos="142"/>
                <w:tab w:val="left" w:pos="993"/>
                <w:tab w:val="left" w:pos="9356"/>
              </w:tabs>
              <w:jc w:val="both"/>
              <w:rPr>
                <w:b/>
                <w:sz w:val="28"/>
                <w:szCs w:val="28"/>
              </w:rPr>
            </w:pPr>
            <w:r w:rsidRPr="008E40F9">
              <w:rPr>
                <w:noProof/>
              </w:rPr>
              <w:drawing>
                <wp:inline distT="0" distB="0" distL="0" distR="0" wp14:anchorId="0B959F23" wp14:editId="0606AED3">
                  <wp:extent cx="1990725" cy="2162175"/>
                  <wp:effectExtent l="0" t="0" r="0" b="0"/>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B772E3" w:rsidRPr="00B772E3" w:rsidRDefault="00B772E3" w:rsidP="00B772E3">
      <w:pPr>
        <w:spacing w:after="0" w:line="240" w:lineRule="auto"/>
        <w:ind w:firstLine="709"/>
        <w:contextualSpacing/>
        <w:jc w:val="both"/>
        <w:rPr>
          <w:rFonts w:ascii="Times New Roman" w:hAnsi="Times New Roman" w:cs="Times New Roman"/>
          <w:sz w:val="24"/>
          <w:szCs w:val="28"/>
        </w:rPr>
      </w:pPr>
      <w:r w:rsidRPr="00B772E3">
        <w:rPr>
          <w:rFonts w:ascii="Times New Roman" w:hAnsi="Times New Roman" w:cs="Times New Roman"/>
          <w:sz w:val="24"/>
          <w:szCs w:val="28"/>
        </w:rPr>
        <w:t xml:space="preserve">Изменение доли НВВ </w:t>
      </w:r>
      <w:r>
        <w:rPr>
          <w:rFonts w:ascii="Times New Roman" w:hAnsi="Times New Roman" w:cs="Times New Roman"/>
          <w:sz w:val="24"/>
          <w:szCs w:val="28"/>
        </w:rPr>
        <w:t>Общества</w:t>
      </w:r>
      <w:r w:rsidRPr="00B772E3">
        <w:rPr>
          <w:rFonts w:ascii="Times New Roman" w:hAnsi="Times New Roman" w:cs="Times New Roman"/>
          <w:sz w:val="24"/>
          <w:szCs w:val="28"/>
        </w:rPr>
        <w:t xml:space="preserve"> в 2021-2023 гг. не связано с реализуемой стратегией по консолидации, а является следствием принятых в республике тарифно-балансовых решений.</w:t>
      </w:r>
    </w:p>
    <w:p w:rsidR="00FE0474" w:rsidRPr="00B772E3" w:rsidRDefault="00FE0474" w:rsidP="00FE0474">
      <w:pPr>
        <w:spacing w:after="0" w:line="240" w:lineRule="auto"/>
        <w:rPr>
          <w:szCs w:val="24"/>
          <w:lang w:eastAsia="ru-RU"/>
        </w:rPr>
      </w:pPr>
    </w:p>
    <w:p w:rsidR="007621CE" w:rsidRPr="00B369F9" w:rsidRDefault="00116471" w:rsidP="00195D14">
      <w:pPr>
        <w:pStyle w:val="af8"/>
        <w:tabs>
          <w:tab w:val="left" w:pos="993"/>
        </w:tabs>
        <w:ind w:left="0" w:right="-2" w:firstLine="709"/>
        <w:jc w:val="both"/>
        <w:outlineLvl w:val="0"/>
        <w:rPr>
          <w:rFonts w:ascii="Times New Roman" w:hAnsi="Times New Roman" w:cs="Times New Roman"/>
          <w:sz w:val="24"/>
          <w:szCs w:val="24"/>
        </w:rPr>
      </w:pPr>
      <w:bookmarkStart w:id="24" w:name="_Toc163738868"/>
      <w:r w:rsidRPr="00B369F9">
        <w:rPr>
          <w:rFonts w:ascii="Times New Roman" w:hAnsi="Times New Roman" w:cs="Times New Roman"/>
          <w:b/>
          <w:sz w:val="24"/>
          <w:szCs w:val="24"/>
        </w:rPr>
        <w:t>Производственные показатели (количество подстанций, мощность подстанций, протяженность ЛЭП по цепям) и повышение надежности электросетевого комплекса (показатели надежности электросет</w:t>
      </w:r>
      <w:r w:rsidR="00764E8C">
        <w:rPr>
          <w:rFonts w:ascii="Times New Roman" w:hAnsi="Times New Roman" w:cs="Times New Roman"/>
          <w:b/>
          <w:sz w:val="24"/>
          <w:szCs w:val="24"/>
        </w:rPr>
        <w:t>евого комплекса (Пsaidi, Пsaifi</w:t>
      </w:r>
      <w:r w:rsidRPr="00B369F9">
        <w:rPr>
          <w:rFonts w:ascii="Times New Roman" w:hAnsi="Times New Roman" w:cs="Times New Roman"/>
          <w:b/>
          <w:sz w:val="24"/>
          <w:szCs w:val="24"/>
        </w:rPr>
        <w:t>), количество технологических нарушений (аварий) в сети 110 кВ и выше</w:t>
      </w:r>
      <w:bookmarkEnd w:id="24"/>
    </w:p>
    <w:p w:rsidR="00116471" w:rsidRPr="00B369F9" w:rsidRDefault="00116471" w:rsidP="007C7C02">
      <w:pPr>
        <w:pStyle w:val="af8"/>
        <w:tabs>
          <w:tab w:val="left" w:pos="993"/>
        </w:tabs>
        <w:ind w:left="0" w:right="-143" w:firstLine="709"/>
        <w:jc w:val="both"/>
        <w:rPr>
          <w:rFonts w:ascii="Times New Roman" w:hAnsi="Times New Roman" w:cs="Times New Roman"/>
          <w:sz w:val="24"/>
          <w:szCs w:val="24"/>
        </w:rPr>
      </w:pP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0"/>
        <w:gridCol w:w="1276"/>
        <w:gridCol w:w="1134"/>
        <w:gridCol w:w="1032"/>
        <w:gridCol w:w="953"/>
        <w:gridCol w:w="1136"/>
        <w:gridCol w:w="12"/>
      </w:tblGrid>
      <w:tr w:rsidR="009E4824" w:rsidRPr="00DB26B5" w:rsidTr="00FB0DA0">
        <w:trPr>
          <w:gridAfter w:val="1"/>
          <w:wAfter w:w="12" w:type="dxa"/>
          <w:cantSplit/>
          <w:trHeight w:val="165"/>
          <w:jc w:val="center"/>
        </w:trPr>
        <w:tc>
          <w:tcPr>
            <w:tcW w:w="4390" w:type="dxa"/>
            <w:vMerge w:val="restart"/>
            <w:tcMar>
              <w:top w:w="0" w:type="dxa"/>
              <w:left w:w="108" w:type="dxa"/>
              <w:bottom w:w="0" w:type="dxa"/>
              <w:right w:w="108" w:type="dxa"/>
            </w:tcMar>
            <w:vAlign w:val="center"/>
            <w:hideMark/>
          </w:tcPr>
          <w:p w:rsidR="009E4824" w:rsidRPr="00DB26B5" w:rsidRDefault="009E4824" w:rsidP="00F06F5D">
            <w:pPr>
              <w:spacing w:after="0" w:line="240" w:lineRule="auto"/>
              <w:ind w:left="-113" w:right="-114"/>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Показатели</w:t>
            </w:r>
          </w:p>
        </w:tc>
        <w:tc>
          <w:tcPr>
            <w:tcW w:w="1276" w:type="dxa"/>
            <w:vMerge w:val="restart"/>
            <w:tcMar>
              <w:top w:w="0" w:type="dxa"/>
              <w:left w:w="108" w:type="dxa"/>
              <w:bottom w:w="0" w:type="dxa"/>
              <w:right w:w="108" w:type="dxa"/>
            </w:tcMar>
            <w:vAlign w:val="center"/>
            <w:hideMark/>
          </w:tcPr>
          <w:p w:rsidR="009E4824" w:rsidRPr="00DB26B5" w:rsidRDefault="009E4824" w:rsidP="00F06F5D">
            <w:pPr>
              <w:spacing w:after="0" w:line="240" w:lineRule="auto"/>
              <w:ind w:left="-111" w:right="-112"/>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Ед. изм.</w:t>
            </w:r>
          </w:p>
        </w:tc>
        <w:tc>
          <w:tcPr>
            <w:tcW w:w="4255" w:type="dxa"/>
            <w:gridSpan w:val="4"/>
            <w:tcMar>
              <w:top w:w="0" w:type="dxa"/>
              <w:left w:w="108" w:type="dxa"/>
              <w:bottom w:w="0" w:type="dxa"/>
              <w:right w:w="108" w:type="dxa"/>
            </w:tcMar>
            <w:vAlign w:val="center"/>
            <w:hideMark/>
          </w:tcPr>
          <w:p w:rsidR="009E4824" w:rsidRPr="00DB26B5" w:rsidRDefault="009E4824" w:rsidP="00F06F5D">
            <w:pPr>
              <w:spacing w:after="0" w:line="240" w:lineRule="auto"/>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Период</w:t>
            </w:r>
          </w:p>
        </w:tc>
      </w:tr>
      <w:tr w:rsidR="009E4824" w:rsidRPr="00DB26B5" w:rsidTr="00FB0DA0">
        <w:trPr>
          <w:gridAfter w:val="1"/>
          <w:wAfter w:w="12" w:type="dxa"/>
          <w:cantSplit/>
          <w:jc w:val="center"/>
        </w:trPr>
        <w:tc>
          <w:tcPr>
            <w:tcW w:w="4390" w:type="dxa"/>
            <w:vMerge/>
            <w:vAlign w:val="center"/>
            <w:hideMark/>
          </w:tcPr>
          <w:p w:rsidR="009E4824" w:rsidRPr="00DB26B5" w:rsidRDefault="009E4824" w:rsidP="00F06F5D">
            <w:pPr>
              <w:spacing w:after="0" w:line="240" w:lineRule="auto"/>
              <w:rPr>
                <w:rFonts w:ascii="Times New Roman" w:hAnsi="Times New Roman" w:cs="Times New Roman"/>
                <w:b/>
                <w:bCs/>
                <w:color w:val="000000"/>
                <w:sz w:val="20"/>
                <w:szCs w:val="20"/>
                <w:lang w:eastAsia="ru-RU"/>
              </w:rPr>
            </w:pPr>
          </w:p>
        </w:tc>
        <w:tc>
          <w:tcPr>
            <w:tcW w:w="1276" w:type="dxa"/>
            <w:vMerge/>
            <w:vAlign w:val="center"/>
            <w:hideMark/>
          </w:tcPr>
          <w:p w:rsidR="009E4824" w:rsidRPr="00DB26B5" w:rsidRDefault="009E4824" w:rsidP="00F06F5D">
            <w:pPr>
              <w:spacing w:after="0" w:line="240" w:lineRule="auto"/>
              <w:rPr>
                <w:rFonts w:ascii="Times New Roman" w:hAnsi="Times New Roman" w:cs="Times New Roman"/>
                <w:b/>
                <w:bCs/>
                <w:color w:val="000000"/>
                <w:sz w:val="20"/>
                <w:szCs w:val="20"/>
                <w:lang w:eastAsia="ru-RU"/>
              </w:rPr>
            </w:pPr>
          </w:p>
        </w:tc>
        <w:tc>
          <w:tcPr>
            <w:tcW w:w="1134" w:type="dxa"/>
            <w:tcMar>
              <w:top w:w="0" w:type="dxa"/>
              <w:left w:w="108" w:type="dxa"/>
              <w:bottom w:w="0" w:type="dxa"/>
              <w:right w:w="108" w:type="dxa"/>
            </w:tcMar>
            <w:hideMark/>
          </w:tcPr>
          <w:p w:rsidR="009E4824" w:rsidRPr="00DB26B5" w:rsidRDefault="009E4824" w:rsidP="00F06F5D">
            <w:pPr>
              <w:spacing w:after="0" w:line="240" w:lineRule="auto"/>
              <w:ind w:left="-96" w:right="-122"/>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2021 год</w:t>
            </w:r>
          </w:p>
          <w:p w:rsidR="009E4824" w:rsidRPr="00DB26B5" w:rsidRDefault="009E4824" w:rsidP="00F06F5D">
            <w:pPr>
              <w:spacing w:after="0" w:line="240" w:lineRule="auto"/>
              <w:ind w:left="-96" w:right="-122"/>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факт</w:t>
            </w:r>
          </w:p>
        </w:tc>
        <w:tc>
          <w:tcPr>
            <w:tcW w:w="1032" w:type="dxa"/>
            <w:tcMar>
              <w:top w:w="0" w:type="dxa"/>
              <w:left w:w="108" w:type="dxa"/>
              <w:bottom w:w="0" w:type="dxa"/>
              <w:right w:w="108" w:type="dxa"/>
            </w:tcMar>
            <w:hideMark/>
          </w:tcPr>
          <w:p w:rsidR="009E4824" w:rsidRPr="00DB26B5" w:rsidRDefault="009E4824" w:rsidP="00F06F5D">
            <w:pPr>
              <w:spacing w:after="0" w:line="240" w:lineRule="auto"/>
              <w:ind w:left="-113" w:right="-138"/>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2022 год</w:t>
            </w:r>
          </w:p>
          <w:p w:rsidR="009E4824" w:rsidRPr="00DB26B5" w:rsidRDefault="009E4824" w:rsidP="00F06F5D">
            <w:pPr>
              <w:spacing w:after="0" w:line="240" w:lineRule="auto"/>
              <w:ind w:left="-113" w:right="-138"/>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факт</w:t>
            </w:r>
          </w:p>
        </w:tc>
        <w:tc>
          <w:tcPr>
            <w:tcW w:w="953" w:type="dxa"/>
            <w:tcMar>
              <w:top w:w="0" w:type="dxa"/>
              <w:left w:w="108" w:type="dxa"/>
              <w:bottom w:w="0" w:type="dxa"/>
              <w:right w:w="108" w:type="dxa"/>
            </w:tcMar>
            <w:hideMark/>
          </w:tcPr>
          <w:p w:rsidR="009E4824" w:rsidRPr="00DB26B5" w:rsidRDefault="009E4824" w:rsidP="00F06F5D">
            <w:pPr>
              <w:spacing w:after="0" w:line="240" w:lineRule="auto"/>
              <w:ind w:left="-119" w:right="-143"/>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2023 год</w:t>
            </w:r>
          </w:p>
          <w:p w:rsidR="009E4824" w:rsidRPr="00DB26B5" w:rsidRDefault="009E4824" w:rsidP="00F06F5D">
            <w:pPr>
              <w:spacing w:after="0" w:line="240" w:lineRule="auto"/>
              <w:ind w:left="-119" w:right="-143"/>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факт</w:t>
            </w:r>
          </w:p>
        </w:tc>
        <w:tc>
          <w:tcPr>
            <w:tcW w:w="1136" w:type="dxa"/>
            <w:tcMar>
              <w:top w:w="0" w:type="dxa"/>
              <w:left w:w="108" w:type="dxa"/>
              <w:bottom w:w="0" w:type="dxa"/>
              <w:right w:w="108" w:type="dxa"/>
            </w:tcMar>
            <w:hideMark/>
          </w:tcPr>
          <w:p w:rsidR="009E4824" w:rsidRPr="00DB26B5" w:rsidRDefault="009E4824" w:rsidP="00F06F5D">
            <w:pPr>
              <w:spacing w:after="0" w:line="240" w:lineRule="auto"/>
              <w:ind w:left="-107" w:right="-143"/>
              <w:jc w:val="center"/>
              <w:rPr>
                <w:rFonts w:ascii="Times New Roman" w:hAnsi="Times New Roman" w:cs="Times New Roman"/>
                <w:b/>
                <w:bCs/>
                <w:color w:val="000000"/>
                <w:sz w:val="20"/>
                <w:szCs w:val="20"/>
                <w:lang w:eastAsia="ru-RU"/>
              </w:rPr>
            </w:pPr>
            <w:r w:rsidRPr="00DB26B5">
              <w:rPr>
                <w:rFonts w:ascii="Times New Roman" w:hAnsi="Times New Roman" w:cs="Times New Roman"/>
                <w:b/>
                <w:bCs/>
                <w:color w:val="000000"/>
                <w:sz w:val="20"/>
                <w:szCs w:val="20"/>
                <w:lang w:eastAsia="ru-RU"/>
              </w:rPr>
              <w:t>изменение 2023/2022, %</w:t>
            </w:r>
          </w:p>
        </w:tc>
      </w:tr>
      <w:tr w:rsidR="009E4824" w:rsidRPr="00DB26B5" w:rsidTr="00FB0DA0">
        <w:trPr>
          <w:gridAfter w:val="1"/>
          <w:wAfter w:w="12" w:type="dxa"/>
          <w:cantSplit/>
          <w:jc w:val="center"/>
        </w:trPr>
        <w:tc>
          <w:tcPr>
            <w:tcW w:w="4390" w:type="dxa"/>
            <w:tcMar>
              <w:top w:w="0" w:type="dxa"/>
              <w:left w:w="108" w:type="dxa"/>
              <w:bottom w:w="0" w:type="dxa"/>
              <w:right w:w="108" w:type="dxa"/>
            </w:tcMar>
            <w:vAlign w:val="center"/>
            <w:hideMark/>
          </w:tcPr>
          <w:p w:rsidR="009E4824" w:rsidRPr="00DB26B5" w:rsidRDefault="009E4824" w:rsidP="00F06F5D">
            <w:pPr>
              <w:spacing w:after="0" w:line="240" w:lineRule="auto"/>
              <w:ind w:right="-143"/>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Количество подстанций (ПС, ТП, РП)</w:t>
            </w:r>
          </w:p>
        </w:tc>
        <w:tc>
          <w:tcPr>
            <w:tcW w:w="1276" w:type="dxa"/>
            <w:tcMar>
              <w:top w:w="0" w:type="dxa"/>
              <w:left w:w="108" w:type="dxa"/>
              <w:bottom w:w="0" w:type="dxa"/>
              <w:right w:w="108" w:type="dxa"/>
            </w:tcMar>
            <w:vAlign w:val="center"/>
            <w:hideMark/>
          </w:tcPr>
          <w:p w:rsidR="009E4824" w:rsidRPr="00DB26B5" w:rsidRDefault="009E4824" w:rsidP="00F06F5D">
            <w:pPr>
              <w:spacing w:after="0" w:line="240" w:lineRule="auto"/>
              <w:ind w:left="426" w:right="-143" w:hanging="426"/>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шт.</w:t>
            </w:r>
          </w:p>
        </w:tc>
        <w:tc>
          <w:tcPr>
            <w:tcW w:w="1134" w:type="dxa"/>
            <w:tcMar>
              <w:top w:w="0" w:type="dxa"/>
              <w:left w:w="108" w:type="dxa"/>
              <w:bottom w:w="0" w:type="dxa"/>
              <w:right w:w="108" w:type="dxa"/>
            </w:tcMar>
            <w:vAlign w:val="center"/>
          </w:tcPr>
          <w:p w:rsidR="009E4824" w:rsidRPr="00A9338E" w:rsidRDefault="009E4824"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4 929</w:t>
            </w:r>
          </w:p>
        </w:tc>
        <w:tc>
          <w:tcPr>
            <w:tcW w:w="1032"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5 183</w:t>
            </w:r>
          </w:p>
        </w:tc>
        <w:tc>
          <w:tcPr>
            <w:tcW w:w="953"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5 522</w:t>
            </w:r>
          </w:p>
        </w:tc>
        <w:tc>
          <w:tcPr>
            <w:tcW w:w="1136"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6,54</w:t>
            </w:r>
          </w:p>
        </w:tc>
      </w:tr>
      <w:tr w:rsidR="009E4824" w:rsidRPr="00DB26B5" w:rsidTr="00FB0DA0">
        <w:trPr>
          <w:gridAfter w:val="1"/>
          <w:wAfter w:w="12" w:type="dxa"/>
          <w:cantSplit/>
          <w:jc w:val="center"/>
        </w:trPr>
        <w:tc>
          <w:tcPr>
            <w:tcW w:w="4390" w:type="dxa"/>
            <w:tcMar>
              <w:top w:w="0" w:type="dxa"/>
              <w:left w:w="108" w:type="dxa"/>
              <w:bottom w:w="0" w:type="dxa"/>
              <w:right w:w="108" w:type="dxa"/>
            </w:tcMar>
            <w:vAlign w:val="center"/>
            <w:hideMark/>
          </w:tcPr>
          <w:p w:rsidR="009E4824" w:rsidRPr="00DB26B5" w:rsidRDefault="009E4824" w:rsidP="00F06F5D">
            <w:pPr>
              <w:spacing w:after="0" w:line="240" w:lineRule="auto"/>
              <w:ind w:right="-143"/>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Мощность подстанций (ПС, ТП, РП)</w:t>
            </w:r>
          </w:p>
        </w:tc>
        <w:tc>
          <w:tcPr>
            <w:tcW w:w="1276" w:type="dxa"/>
            <w:tcMar>
              <w:top w:w="0" w:type="dxa"/>
              <w:left w:w="108" w:type="dxa"/>
              <w:bottom w:w="0" w:type="dxa"/>
              <w:right w:w="108" w:type="dxa"/>
            </w:tcMar>
            <w:vAlign w:val="center"/>
            <w:hideMark/>
          </w:tcPr>
          <w:p w:rsidR="009E4824" w:rsidRPr="00DB26B5" w:rsidRDefault="009E4824" w:rsidP="00F06F5D">
            <w:pPr>
              <w:spacing w:after="0" w:line="240" w:lineRule="auto"/>
              <w:ind w:left="426" w:right="-143" w:hanging="426"/>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тыс. МВА</w:t>
            </w:r>
          </w:p>
        </w:tc>
        <w:tc>
          <w:tcPr>
            <w:tcW w:w="1134" w:type="dxa"/>
            <w:tcMar>
              <w:top w:w="0" w:type="dxa"/>
              <w:left w:w="108" w:type="dxa"/>
              <w:bottom w:w="0" w:type="dxa"/>
              <w:right w:w="108" w:type="dxa"/>
            </w:tcMar>
            <w:vAlign w:val="center"/>
          </w:tcPr>
          <w:p w:rsidR="009E4824" w:rsidRPr="00A9338E" w:rsidRDefault="009E4824"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2 384,9</w:t>
            </w:r>
          </w:p>
        </w:tc>
        <w:tc>
          <w:tcPr>
            <w:tcW w:w="1032"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2 459,8</w:t>
            </w:r>
          </w:p>
        </w:tc>
        <w:tc>
          <w:tcPr>
            <w:tcW w:w="953"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2 487,06</w:t>
            </w:r>
          </w:p>
        </w:tc>
        <w:tc>
          <w:tcPr>
            <w:tcW w:w="1136"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1,11</w:t>
            </w:r>
          </w:p>
        </w:tc>
      </w:tr>
      <w:tr w:rsidR="009E4824" w:rsidRPr="00DB26B5" w:rsidTr="00FB0DA0">
        <w:trPr>
          <w:gridAfter w:val="1"/>
          <w:wAfter w:w="12" w:type="dxa"/>
          <w:cantSplit/>
          <w:trHeight w:val="70"/>
          <w:jc w:val="center"/>
        </w:trPr>
        <w:tc>
          <w:tcPr>
            <w:tcW w:w="4390" w:type="dxa"/>
            <w:tcMar>
              <w:top w:w="0" w:type="dxa"/>
              <w:left w:w="108" w:type="dxa"/>
              <w:bottom w:w="0" w:type="dxa"/>
              <w:right w:w="108" w:type="dxa"/>
            </w:tcMar>
            <w:vAlign w:val="center"/>
            <w:hideMark/>
          </w:tcPr>
          <w:p w:rsidR="009E4824" w:rsidRPr="00DB26B5" w:rsidRDefault="009E4824" w:rsidP="00F06F5D">
            <w:pPr>
              <w:spacing w:after="0" w:line="240" w:lineRule="auto"/>
              <w:ind w:right="-143"/>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Протяженность ЛЭП по цепям</w:t>
            </w:r>
          </w:p>
        </w:tc>
        <w:tc>
          <w:tcPr>
            <w:tcW w:w="1276" w:type="dxa"/>
            <w:tcMar>
              <w:top w:w="0" w:type="dxa"/>
              <w:left w:w="108" w:type="dxa"/>
              <w:bottom w:w="0" w:type="dxa"/>
              <w:right w:w="108" w:type="dxa"/>
            </w:tcMar>
            <w:vAlign w:val="center"/>
            <w:hideMark/>
          </w:tcPr>
          <w:p w:rsidR="009E4824" w:rsidRPr="00DB26B5" w:rsidRDefault="009E4824" w:rsidP="00F06F5D">
            <w:pPr>
              <w:spacing w:after="0" w:line="240" w:lineRule="auto"/>
              <w:ind w:left="426" w:right="-143" w:hanging="426"/>
              <w:rPr>
                <w:rFonts w:ascii="Times New Roman" w:hAnsi="Times New Roman" w:cs="Times New Roman"/>
                <w:color w:val="000000"/>
                <w:sz w:val="20"/>
                <w:szCs w:val="20"/>
                <w:lang w:eastAsia="ru-RU"/>
              </w:rPr>
            </w:pPr>
            <w:r w:rsidRPr="00DB26B5">
              <w:rPr>
                <w:rFonts w:ascii="Times New Roman" w:hAnsi="Times New Roman" w:cs="Times New Roman"/>
                <w:color w:val="000000"/>
                <w:sz w:val="20"/>
                <w:szCs w:val="20"/>
                <w:lang w:eastAsia="ru-RU"/>
              </w:rPr>
              <w:t xml:space="preserve">км </w:t>
            </w:r>
          </w:p>
        </w:tc>
        <w:tc>
          <w:tcPr>
            <w:tcW w:w="1134" w:type="dxa"/>
            <w:tcMar>
              <w:top w:w="0" w:type="dxa"/>
              <w:left w:w="108" w:type="dxa"/>
              <w:bottom w:w="0" w:type="dxa"/>
              <w:right w:w="108" w:type="dxa"/>
            </w:tcMar>
            <w:vAlign w:val="center"/>
          </w:tcPr>
          <w:p w:rsidR="009E4824" w:rsidRPr="00A9338E" w:rsidRDefault="009E4824"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15 861,8</w:t>
            </w:r>
          </w:p>
        </w:tc>
        <w:tc>
          <w:tcPr>
            <w:tcW w:w="1032"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15 896,4</w:t>
            </w:r>
          </w:p>
        </w:tc>
        <w:tc>
          <w:tcPr>
            <w:tcW w:w="953"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15 904,2</w:t>
            </w:r>
          </w:p>
        </w:tc>
        <w:tc>
          <w:tcPr>
            <w:tcW w:w="1136" w:type="dxa"/>
            <w:tcMar>
              <w:top w:w="0" w:type="dxa"/>
              <w:left w:w="108" w:type="dxa"/>
              <w:bottom w:w="0" w:type="dxa"/>
              <w:right w:w="108" w:type="dxa"/>
            </w:tcMar>
            <w:vAlign w:val="center"/>
          </w:tcPr>
          <w:p w:rsidR="009E4824" w:rsidRPr="00A9338E" w:rsidRDefault="009E4824" w:rsidP="00A9338E">
            <w:pPr>
              <w:widowControl w:val="0"/>
              <w:spacing w:after="0" w:line="240" w:lineRule="auto"/>
              <w:ind w:left="-105" w:right="-109"/>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0,05</w:t>
            </w:r>
          </w:p>
        </w:tc>
      </w:tr>
      <w:tr w:rsidR="001C74D9" w:rsidRPr="00DB26B5" w:rsidTr="00FB0DA0">
        <w:tblPrEx>
          <w:tblCellMar>
            <w:left w:w="108" w:type="dxa"/>
            <w:right w:w="108" w:type="dxa"/>
          </w:tblCellMar>
        </w:tblPrEx>
        <w:trPr>
          <w:gridAfter w:val="1"/>
          <w:wAfter w:w="12" w:type="dxa"/>
          <w:cantSplit/>
          <w:trHeight w:val="186"/>
          <w:jc w:val="center"/>
        </w:trPr>
        <w:tc>
          <w:tcPr>
            <w:tcW w:w="4390" w:type="dxa"/>
          </w:tcPr>
          <w:p w:rsidR="001C74D9" w:rsidRPr="00DB26B5" w:rsidRDefault="001C74D9" w:rsidP="001C74D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П</w:t>
            </w:r>
            <w:r w:rsidRPr="00DB26B5">
              <w:rPr>
                <w:rFonts w:ascii="Times New Roman" w:eastAsia="Times New Roman" w:hAnsi="Times New Roman" w:cs="Times New Roman"/>
                <w:bCs/>
                <w:color w:val="000000"/>
                <w:sz w:val="20"/>
                <w:szCs w:val="20"/>
                <w:vertAlign w:val="subscript"/>
                <w:lang w:val="en-US" w:eastAsia="ru-RU"/>
              </w:rPr>
              <w:t>saidi</w:t>
            </w:r>
          </w:p>
        </w:tc>
        <w:tc>
          <w:tcPr>
            <w:tcW w:w="1276" w:type="dxa"/>
          </w:tcPr>
          <w:p w:rsidR="001C74D9" w:rsidRPr="00DB26B5" w:rsidRDefault="001C74D9" w:rsidP="001C74D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час</w:t>
            </w:r>
          </w:p>
        </w:tc>
        <w:tc>
          <w:tcPr>
            <w:tcW w:w="1134"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1C74D9">
              <w:rPr>
                <w:rFonts w:ascii="Times New Roman" w:eastAsia="Times New Roman" w:hAnsi="Times New Roman" w:cs="Times New Roman"/>
                <w:color w:val="000000"/>
                <w:sz w:val="20"/>
                <w:szCs w:val="20"/>
                <w:lang w:val="en-US" w:eastAsia="ru-RU"/>
              </w:rPr>
              <w:t>4</w:t>
            </w:r>
            <w:r>
              <w:rPr>
                <w:rFonts w:ascii="Times New Roman" w:eastAsia="Times New Roman" w:hAnsi="Times New Roman" w:cs="Times New Roman"/>
                <w:color w:val="000000"/>
                <w:sz w:val="20"/>
                <w:szCs w:val="20"/>
                <w:lang w:val="en-US" w:eastAsia="ru-RU"/>
              </w:rPr>
              <w:t>,</w:t>
            </w:r>
            <w:r w:rsidRPr="001C74D9">
              <w:rPr>
                <w:rFonts w:ascii="Times New Roman" w:eastAsia="Times New Roman" w:hAnsi="Times New Roman" w:cs="Times New Roman"/>
                <w:color w:val="000000"/>
                <w:sz w:val="20"/>
                <w:szCs w:val="20"/>
                <w:lang w:val="en-US" w:eastAsia="ru-RU"/>
              </w:rPr>
              <w:t>65</w:t>
            </w:r>
          </w:p>
        </w:tc>
        <w:tc>
          <w:tcPr>
            <w:tcW w:w="1032"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5</w:t>
            </w:r>
            <w:r w:rsidRPr="00A9338E">
              <w:rPr>
                <w:rFonts w:ascii="Times New Roman" w:eastAsia="Times New Roman" w:hAnsi="Times New Roman" w:cs="Times New Roman"/>
                <w:color w:val="000000"/>
                <w:sz w:val="20"/>
                <w:szCs w:val="20"/>
                <w:lang w:val="en-US" w:eastAsia="ru-RU"/>
              </w:rPr>
              <w:t>,</w:t>
            </w:r>
            <w:r w:rsidRPr="00DB26B5">
              <w:rPr>
                <w:rFonts w:ascii="Times New Roman" w:eastAsia="Times New Roman" w:hAnsi="Times New Roman" w:cs="Times New Roman"/>
                <w:color w:val="000000"/>
                <w:sz w:val="20"/>
                <w:szCs w:val="20"/>
                <w:lang w:val="en-US" w:eastAsia="ru-RU"/>
              </w:rPr>
              <w:t>76</w:t>
            </w:r>
          </w:p>
        </w:tc>
        <w:tc>
          <w:tcPr>
            <w:tcW w:w="953"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5</w:t>
            </w:r>
            <w:r w:rsidRPr="00A9338E">
              <w:rPr>
                <w:rFonts w:ascii="Times New Roman" w:eastAsia="Times New Roman" w:hAnsi="Times New Roman" w:cs="Times New Roman"/>
                <w:color w:val="000000"/>
                <w:sz w:val="20"/>
                <w:szCs w:val="20"/>
                <w:lang w:val="en-US" w:eastAsia="ru-RU"/>
              </w:rPr>
              <w:t>,</w:t>
            </w:r>
            <w:r w:rsidRPr="00DB26B5">
              <w:rPr>
                <w:rFonts w:ascii="Times New Roman" w:eastAsia="Times New Roman" w:hAnsi="Times New Roman" w:cs="Times New Roman"/>
                <w:color w:val="000000"/>
                <w:sz w:val="20"/>
                <w:szCs w:val="20"/>
                <w:lang w:val="en-US" w:eastAsia="ru-RU"/>
              </w:rPr>
              <w:t>32</w:t>
            </w:r>
          </w:p>
        </w:tc>
        <w:tc>
          <w:tcPr>
            <w:tcW w:w="1136" w:type="dxa"/>
          </w:tcPr>
          <w:p w:rsidR="001C74D9" w:rsidRPr="00A9338E" w:rsidRDefault="001C74D9" w:rsidP="00A9338E">
            <w:pPr>
              <w:widowControl w:val="0"/>
              <w:spacing w:after="0" w:line="240" w:lineRule="auto"/>
              <w:ind w:left="-105" w:right="-143"/>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-7.5</w:t>
            </w:r>
          </w:p>
        </w:tc>
      </w:tr>
      <w:tr w:rsidR="001C74D9" w:rsidRPr="00DB26B5" w:rsidTr="00FB0DA0">
        <w:tblPrEx>
          <w:tblCellMar>
            <w:left w:w="108" w:type="dxa"/>
            <w:right w:w="108" w:type="dxa"/>
          </w:tblCellMar>
        </w:tblPrEx>
        <w:trPr>
          <w:gridAfter w:val="1"/>
          <w:wAfter w:w="12" w:type="dxa"/>
          <w:cantSplit/>
          <w:trHeight w:val="70"/>
          <w:jc w:val="center"/>
        </w:trPr>
        <w:tc>
          <w:tcPr>
            <w:tcW w:w="4390" w:type="dxa"/>
          </w:tcPr>
          <w:p w:rsidR="001C74D9" w:rsidRPr="00DB26B5" w:rsidRDefault="001C74D9" w:rsidP="001C74D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П</w:t>
            </w:r>
            <w:r w:rsidRPr="00DB26B5">
              <w:rPr>
                <w:rFonts w:ascii="Times New Roman" w:eastAsia="Times New Roman" w:hAnsi="Times New Roman" w:cs="Times New Roman"/>
                <w:bCs/>
                <w:color w:val="000000"/>
                <w:sz w:val="20"/>
                <w:szCs w:val="20"/>
                <w:vertAlign w:val="subscript"/>
                <w:lang w:val="en-US" w:eastAsia="ru-RU"/>
              </w:rPr>
              <w:t>saifi</w:t>
            </w:r>
          </w:p>
        </w:tc>
        <w:tc>
          <w:tcPr>
            <w:tcW w:w="1276" w:type="dxa"/>
          </w:tcPr>
          <w:p w:rsidR="001C74D9" w:rsidRPr="00DB26B5" w:rsidRDefault="001C74D9" w:rsidP="001C74D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шт.</w:t>
            </w:r>
          </w:p>
        </w:tc>
        <w:tc>
          <w:tcPr>
            <w:tcW w:w="1134"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1C74D9">
              <w:rPr>
                <w:rFonts w:ascii="Times New Roman" w:eastAsia="Times New Roman" w:hAnsi="Times New Roman" w:cs="Times New Roman"/>
                <w:color w:val="000000"/>
                <w:sz w:val="20"/>
                <w:szCs w:val="20"/>
                <w:lang w:val="en-US" w:eastAsia="ru-RU"/>
              </w:rPr>
              <w:t>6</w:t>
            </w:r>
            <w:r>
              <w:rPr>
                <w:rFonts w:ascii="Times New Roman" w:eastAsia="Times New Roman" w:hAnsi="Times New Roman" w:cs="Times New Roman"/>
                <w:color w:val="000000"/>
                <w:sz w:val="20"/>
                <w:szCs w:val="20"/>
                <w:lang w:val="en-US" w:eastAsia="ru-RU"/>
              </w:rPr>
              <w:t>,</w:t>
            </w:r>
            <w:r w:rsidRPr="001C74D9">
              <w:rPr>
                <w:rFonts w:ascii="Times New Roman" w:eastAsia="Times New Roman" w:hAnsi="Times New Roman" w:cs="Times New Roman"/>
                <w:color w:val="000000"/>
                <w:sz w:val="20"/>
                <w:szCs w:val="20"/>
                <w:lang w:val="en-US" w:eastAsia="ru-RU"/>
              </w:rPr>
              <w:t>87</w:t>
            </w:r>
          </w:p>
        </w:tc>
        <w:tc>
          <w:tcPr>
            <w:tcW w:w="1032"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6</w:t>
            </w:r>
            <w:r w:rsidRPr="00A9338E">
              <w:rPr>
                <w:rFonts w:ascii="Times New Roman" w:eastAsia="Times New Roman" w:hAnsi="Times New Roman" w:cs="Times New Roman"/>
                <w:color w:val="000000"/>
                <w:sz w:val="20"/>
                <w:szCs w:val="20"/>
                <w:lang w:val="en-US" w:eastAsia="ru-RU"/>
              </w:rPr>
              <w:t>,</w:t>
            </w:r>
            <w:r w:rsidRPr="00DB26B5">
              <w:rPr>
                <w:rFonts w:ascii="Times New Roman" w:eastAsia="Times New Roman" w:hAnsi="Times New Roman" w:cs="Times New Roman"/>
                <w:color w:val="000000"/>
                <w:sz w:val="20"/>
                <w:szCs w:val="20"/>
                <w:lang w:val="en-US" w:eastAsia="ru-RU"/>
              </w:rPr>
              <w:t>54</w:t>
            </w:r>
          </w:p>
        </w:tc>
        <w:tc>
          <w:tcPr>
            <w:tcW w:w="953" w:type="dxa"/>
          </w:tcPr>
          <w:p w:rsidR="001C74D9" w:rsidRPr="00DB26B5"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5</w:t>
            </w:r>
            <w:r w:rsidRPr="00A9338E">
              <w:rPr>
                <w:rFonts w:ascii="Times New Roman" w:eastAsia="Times New Roman" w:hAnsi="Times New Roman" w:cs="Times New Roman"/>
                <w:color w:val="000000"/>
                <w:sz w:val="20"/>
                <w:szCs w:val="20"/>
                <w:lang w:val="en-US" w:eastAsia="ru-RU"/>
              </w:rPr>
              <w:t>,</w:t>
            </w:r>
            <w:r w:rsidRPr="00DB26B5">
              <w:rPr>
                <w:rFonts w:ascii="Times New Roman" w:eastAsia="Times New Roman" w:hAnsi="Times New Roman" w:cs="Times New Roman"/>
                <w:color w:val="000000"/>
                <w:sz w:val="20"/>
                <w:szCs w:val="20"/>
                <w:lang w:val="en-US" w:eastAsia="ru-RU"/>
              </w:rPr>
              <w:t>67</w:t>
            </w:r>
          </w:p>
        </w:tc>
        <w:tc>
          <w:tcPr>
            <w:tcW w:w="1136" w:type="dxa"/>
          </w:tcPr>
          <w:p w:rsidR="001C74D9" w:rsidRPr="00A9338E" w:rsidRDefault="001C74D9"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-13</w:t>
            </w:r>
            <w:r w:rsidRPr="00A9338E">
              <w:rPr>
                <w:rFonts w:ascii="Times New Roman" w:eastAsia="Times New Roman" w:hAnsi="Times New Roman" w:cs="Times New Roman"/>
                <w:color w:val="000000"/>
                <w:sz w:val="20"/>
                <w:szCs w:val="20"/>
                <w:lang w:val="en-US" w:eastAsia="ru-RU"/>
              </w:rPr>
              <w:t>,</w:t>
            </w:r>
            <w:r w:rsidRPr="00DB26B5">
              <w:rPr>
                <w:rFonts w:ascii="Times New Roman" w:eastAsia="Times New Roman" w:hAnsi="Times New Roman" w:cs="Times New Roman"/>
                <w:color w:val="000000"/>
                <w:sz w:val="20"/>
                <w:szCs w:val="20"/>
                <w:lang w:val="en-US" w:eastAsia="ru-RU"/>
              </w:rPr>
              <w:t>2</w:t>
            </w:r>
          </w:p>
        </w:tc>
      </w:tr>
      <w:tr w:rsidR="00DB26B5" w:rsidRPr="00DB26B5" w:rsidTr="00FB0DA0">
        <w:tblPrEx>
          <w:tblCellMar>
            <w:left w:w="108" w:type="dxa"/>
            <w:right w:w="108" w:type="dxa"/>
          </w:tblCellMar>
        </w:tblPrEx>
        <w:trPr>
          <w:gridAfter w:val="1"/>
          <w:wAfter w:w="12" w:type="dxa"/>
          <w:cantSplit/>
          <w:trHeight w:val="422"/>
          <w:jc w:val="center"/>
        </w:trPr>
        <w:tc>
          <w:tcPr>
            <w:tcW w:w="4390" w:type="dxa"/>
          </w:tcPr>
          <w:p w:rsidR="00635CFC" w:rsidRPr="00DB26B5" w:rsidRDefault="00635CFC" w:rsidP="00922A49">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Количество технологических нарушений (аварий) в сети 110 кВ и выше</w:t>
            </w:r>
          </w:p>
        </w:tc>
        <w:tc>
          <w:tcPr>
            <w:tcW w:w="1276" w:type="dxa"/>
            <w:vAlign w:val="center"/>
          </w:tcPr>
          <w:p w:rsidR="00635CFC" w:rsidRPr="00DB26B5" w:rsidRDefault="00635CFC" w:rsidP="00922A4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шт.</w:t>
            </w:r>
          </w:p>
        </w:tc>
        <w:tc>
          <w:tcPr>
            <w:tcW w:w="1134" w:type="dxa"/>
          </w:tcPr>
          <w:p w:rsidR="00635CFC" w:rsidRPr="00DB26B5"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108</w:t>
            </w:r>
          </w:p>
        </w:tc>
        <w:tc>
          <w:tcPr>
            <w:tcW w:w="1032" w:type="dxa"/>
          </w:tcPr>
          <w:p w:rsidR="00635CFC" w:rsidRPr="00DB26B5"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106</w:t>
            </w:r>
          </w:p>
        </w:tc>
        <w:tc>
          <w:tcPr>
            <w:tcW w:w="953" w:type="dxa"/>
          </w:tcPr>
          <w:p w:rsidR="00635CFC" w:rsidRPr="00DB26B5"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152</w:t>
            </w:r>
          </w:p>
        </w:tc>
        <w:tc>
          <w:tcPr>
            <w:tcW w:w="1136" w:type="dxa"/>
          </w:tcPr>
          <w:p w:rsidR="00635CFC" w:rsidRPr="00DB26B5"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43,4</w:t>
            </w:r>
          </w:p>
        </w:tc>
      </w:tr>
      <w:tr w:rsidR="00FB0DA0" w:rsidRPr="00DB26B5" w:rsidTr="00FB0DA0">
        <w:tblPrEx>
          <w:tblCellMar>
            <w:left w:w="108" w:type="dxa"/>
            <w:right w:w="108" w:type="dxa"/>
          </w:tblCellMar>
        </w:tblPrEx>
        <w:trPr>
          <w:cantSplit/>
          <w:trHeight w:val="283"/>
          <w:jc w:val="center"/>
        </w:trPr>
        <w:tc>
          <w:tcPr>
            <w:tcW w:w="9933" w:type="dxa"/>
            <w:gridSpan w:val="7"/>
          </w:tcPr>
          <w:p w:rsidR="00FB0DA0" w:rsidRPr="00FB0DA0" w:rsidRDefault="00FB0DA0" w:rsidP="00A9338E">
            <w:pPr>
              <w:widowControl w:val="0"/>
              <w:spacing w:after="0" w:line="240" w:lineRule="auto"/>
              <w:ind w:left="426" w:right="-143" w:hanging="426"/>
              <w:jc w:val="center"/>
              <w:rPr>
                <w:rFonts w:ascii="Times New Roman" w:eastAsia="Times New Roman" w:hAnsi="Times New Roman" w:cs="Times New Roman"/>
                <w:b/>
                <w:color w:val="000000"/>
                <w:sz w:val="20"/>
                <w:szCs w:val="20"/>
                <w:lang w:eastAsia="ru-RU"/>
              </w:rPr>
            </w:pPr>
            <w:r w:rsidRPr="00FB0DA0">
              <w:rPr>
                <w:rFonts w:ascii="Times New Roman" w:eastAsia="Times New Roman" w:hAnsi="Times New Roman" w:cs="Times New Roman"/>
                <w:b/>
                <w:color w:val="000000"/>
                <w:sz w:val="20"/>
                <w:szCs w:val="20"/>
                <w:lang w:eastAsia="ru-RU"/>
              </w:rPr>
              <w:t>Пожарная безопасность и охрана труда</w:t>
            </w:r>
          </w:p>
        </w:tc>
      </w:tr>
      <w:tr w:rsidR="00DB26B5" w:rsidRPr="00DB26B5" w:rsidTr="00FB0DA0">
        <w:tblPrEx>
          <w:tblCellMar>
            <w:left w:w="108" w:type="dxa"/>
            <w:right w:w="108" w:type="dxa"/>
          </w:tblCellMar>
        </w:tblPrEx>
        <w:trPr>
          <w:gridAfter w:val="1"/>
          <w:wAfter w:w="12" w:type="dxa"/>
          <w:cantSplit/>
          <w:trHeight w:val="244"/>
          <w:jc w:val="center"/>
        </w:trPr>
        <w:tc>
          <w:tcPr>
            <w:tcW w:w="4390" w:type="dxa"/>
          </w:tcPr>
          <w:p w:rsidR="00635CFC" w:rsidRPr="00DB26B5" w:rsidRDefault="00635CFC" w:rsidP="00922A49">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Количество пожаров</w:t>
            </w:r>
          </w:p>
        </w:tc>
        <w:tc>
          <w:tcPr>
            <w:tcW w:w="1276" w:type="dxa"/>
          </w:tcPr>
          <w:p w:rsidR="00635CFC" w:rsidRPr="00DB26B5" w:rsidRDefault="00635CFC" w:rsidP="00922A49">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DB26B5">
              <w:rPr>
                <w:rFonts w:ascii="Times New Roman" w:eastAsia="Times New Roman" w:hAnsi="Times New Roman" w:cs="Times New Roman"/>
                <w:bCs/>
                <w:color w:val="000000"/>
                <w:sz w:val="20"/>
                <w:szCs w:val="20"/>
                <w:lang w:eastAsia="ru-RU"/>
              </w:rPr>
              <w:t xml:space="preserve">ед. </w:t>
            </w:r>
          </w:p>
        </w:tc>
        <w:tc>
          <w:tcPr>
            <w:tcW w:w="1134" w:type="dxa"/>
          </w:tcPr>
          <w:p w:rsidR="00635CFC" w:rsidRPr="00A9338E"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w:t>
            </w:r>
          </w:p>
        </w:tc>
        <w:tc>
          <w:tcPr>
            <w:tcW w:w="1032" w:type="dxa"/>
          </w:tcPr>
          <w:p w:rsidR="00635CFC" w:rsidRPr="00A9338E"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w:t>
            </w:r>
          </w:p>
        </w:tc>
        <w:tc>
          <w:tcPr>
            <w:tcW w:w="953" w:type="dxa"/>
          </w:tcPr>
          <w:p w:rsidR="00635CFC" w:rsidRPr="00A9338E"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w:t>
            </w:r>
          </w:p>
        </w:tc>
        <w:tc>
          <w:tcPr>
            <w:tcW w:w="1136" w:type="dxa"/>
          </w:tcPr>
          <w:p w:rsidR="00635CFC" w:rsidRPr="00A9338E" w:rsidRDefault="00635CFC"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DB26B5">
              <w:rPr>
                <w:rFonts w:ascii="Times New Roman" w:eastAsia="Times New Roman" w:hAnsi="Times New Roman" w:cs="Times New Roman"/>
                <w:color w:val="000000"/>
                <w:sz w:val="20"/>
                <w:szCs w:val="20"/>
                <w:lang w:val="en-US" w:eastAsia="ru-RU"/>
              </w:rPr>
              <w:t>-100</w:t>
            </w:r>
          </w:p>
        </w:tc>
      </w:tr>
      <w:tr w:rsidR="00FB0DA0" w:rsidRPr="00DB26B5" w:rsidTr="00FB0DA0">
        <w:tblPrEx>
          <w:tblCellMar>
            <w:left w:w="108" w:type="dxa"/>
            <w:right w:w="108" w:type="dxa"/>
          </w:tblCellMar>
        </w:tblPrEx>
        <w:trPr>
          <w:cantSplit/>
          <w:trHeight w:val="163"/>
          <w:jc w:val="center"/>
        </w:trPr>
        <w:tc>
          <w:tcPr>
            <w:tcW w:w="9933" w:type="dxa"/>
            <w:gridSpan w:val="7"/>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b/>
                <w:color w:val="000000"/>
                <w:sz w:val="20"/>
                <w:szCs w:val="20"/>
                <w:lang w:val="en-US" w:eastAsia="ru-RU"/>
              </w:rPr>
            </w:pPr>
            <w:r w:rsidRPr="00FB0DA0">
              <w:rPr>
                <w:rFonts w:ascii="Times New Roman" w:eastAsia="Times New Roman" w:hAnsi="Times New Roman" w:cs="Times New Roman"/>
                <w:b/>
                <w:color w:val="000000"/>
                <w:sz w:val="20"/>
                <w:szCs w:val="20"/>
                <w:lang w:val="en-US" w:eastAsia="ru-RU"/>
              </w:rPr>
              <w:t>Экологические</w:t>
            </w:r>
            <w:r>
              <w:rPr>
                <w:rFonts w:ascii="Times New Roman" w:eastAsia="Times New Roman" w:hAnsi="Times New Roman" w:cs="Times New Roman"/>
                <w:b/>
                <w:color w:val="000000"/>
                <w:sz w:val="20"/>
                <w:szCs w:val="20"/>
                <w:lang w:eastAsia="ru-RU"/>
              </w:rPr>
              <w:t xml:space="preserve"> </w:t>
            </w:r>
            <w:r w:rsidRPr="00FB0DA0">
              <w:rPr>
                <w:rFonts w:ascii="Times New Roman" w:eastAsia="Times New Roman" w:hAnsi="Times New Roman" w:cs="Times New Roman"/>
                <w:b/>
                <w:color w:val="000000"/>
                <w:sz w:val="20"/>
                <w:szCs w:val="20"/>
                <w:lang w:val="en-US" w:eastAsia="ru-RU"/>
              </w:rPr>
              <w:t>показатели</w:t>
            </w:r>
          </w:p>
        </w:tc>
      </w:tr>
      <w:tr w:rsidR="00A9338E" w:rsidRPr="00014D1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Валовый выброс загрязняющих веществ в атмосферный воздух, всего</w:t>
            </w:r>
          </w:p>
        </w:tc>
        <w:tc>
          <w:tcPr>
            <w:tcW w:w="1276"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тонн</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1,30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1,80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0,208</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- 88,44</w:t>
            </w:r>
          </w:p>
        </w:tc>
      </w:tr>
      <w:tr w:rsidR="00A9338E" w:rsidRPr="00014D1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 xml:space="preserve">Объем потребления воды </w:t>
            </w:r>
          </w:p>
        </w:tc>
        <w:tc>
          <w:tcPr>
            <w:tcW w:w="1276"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м3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28,44</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35,60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24,81</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w:t>
            </w:r>
            <w:r>
              <w:rPr>
                <w:rFonts w:ascii="Times New Roman" w:eastAsia="Times New Roman" w:hAnsi="Times New Roman" w:cs="Times New Roman"/>
                <w:color w:val="000000"/>
                <w:sz w:val="20"/>
                <w:szCs w:val="20"/>
                <w:lang w:val="en-US" w:eastAsia="ru-RU"/>
              </w:rPr>
              <w:t xml:space="preserve"> 30,31</w:t>
            </w:r>
          </w:p>
        </w:tc>
      </w:tr>
      <w:tr w:rsidR="00A9338E" w:rsidRPr="00014D1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Объем образованных отходов</w:t>
            </w:r>
          </w:p>
        </w:tc>
        <w:tc>
          <w:tcPr>
            <w:tcW w:w="1276"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тонн</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523,46</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485,90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551,33</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13,4</w:t>
            </w:r>
          </w:p>
        </w:tc>
      </w:tr>
      <w:tr w:rsidR="00A9338E" w:rsidRPr="00014D1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Объем отходов, переданных на утилизацию и обезвреживание</w:t>
            </w:r>
          </w:p>
        </w:tc>
        <w:tc>
          <w:tcPr>
            <w:tcW w:w="1276"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тонн</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0,13</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0,00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4,73</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100</w:t>
            </w:r>
          </w:p>
        </w:tc>
      </w:tr>
      <w:tr w:rsidR="00A9338E" w:rsidRPr="00014D10" w:rsidTr="00FB0DA0">
        <w:tblPrEx>
          <w:tblCellMar>
            <w:left w:w="108" w:type="dxa"/>
            <w:right w:w="108" w:type="dxa"/>
          </w:tblCellMar>
        </w:tblPrEx>
        <w:trPr>
          <w:gridAfter w:val="1"/>
          <w:wAfter w:w="12" w:type="dxa"/>
          <w:cantSplit/>
          <w:trHeight w:val="349"/>
          <w:jc w:val="center"/>
        </w:trPr>
        <w:tc>
          <w:tcPr>
            <w:tcW w:w="4390"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Плата за негативное воздействие на окружающую среду</w:t>
            </w:r>
          </w:p>
        </w:tc>
        <w:tc>
          <w:tcPr>
            <w:tcW w:w="1276" w:type="dxa"/>
            <w:tcBorders>
              <w:top w:val="single" w:sz="4" w:space="0" w:color="auto"/>
              <w:left w:val="single" w:sz="4" w:space="0" w:color="auto"/>
              <w:bottom w:val="single" w:sz="4" w:space="0" w:color="auto"/>
              <w:right w:val="single" w:sz="4" w:space="0" w:color="auto"/>
            </w:tcBorders>
          </w:tcPr>
          <w:p w:rsidR="00A9338E" w:rsidRPr="00A9338E" w:rsidRDefault="00A9338E" w:rsidP="00A9338E">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sidRPr="00A9338E">
              <w:rPr>
                <w:rFonts w:ascii="Times New Roman" w:eastAsia="Times New Roman" w:hAnsi="Times New Roman" w:cs="Times New Roman"/>
                <w:bCs/>
                <w:color w:val="000000"/>
                <w:sz w:val="20"/>
                <w:szCs w:val="20"/>
                <w:lang w:eastAsia="ru-RU"/>
              </w:rPr>
              <w:t>тыс. руб.</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0,045</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0,018</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9F115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0,208</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A9338E" w:rsidRPr="00A9338E" w:rsidRDefault="00A9338E" w:rsidP="00A9338E">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A9338E">
              <w:rPr>
                <w:rFonts w:ascii="Times New Roman" w:eastAsia="Times New Roman" w:hAnsi="Times New Roman" w:cs="Times New Roman"/>
                <w:color w:val="000000"/>
                <w:sz w:val="20"/>
                <w:szCs w:val="20"/>
                <w:lang w:val="en-US" w:eastAsia="ru-RU"/>
              </w:rPr>
              <w:t>1</w:t>
            </w:r>
            <w:r>
              <w:rPr>
                <w:rFonts w:ascii="Times New Roman" w:eastAsia="Times New Roman" w:hAnsi="Times New Roman" w:cs="Times New Roman"/>
                <w:color w:val="000000"/>
                <w:sz w:val="20"/>
                <w:szCs w:val="20"/>
                <w:lang w:eastAsia="ru-RU"/>
              </w:rPr>
              <w:t xml:space="preserve"> </w:t>
            </w:r>
            <w:r w:rsidRPr="00A9338E">
              <w:rPr>
                <w:rFonts w:ascii="Times New Roman" w:eastAsia="Times New Roman" w:hAnsi="Times New Roman" w:cs="Times New Roman"/>
                <w:color w:val="000000"/>
                <w:sz w:val="20"/>
                <w:szCs w:val="20"/>
                <w:lang w:val="en-US" w:eastAsia="ru-RU"/>
              </w:rPr>
              <w:t>050</w:t>
            </w:r>
          </w:p>
        </w:tc>
      </w:tr>
      <w:tr w:rsidR="00FB0DA0" w:rsidRPr="00014D10" w:rsidTr="00FB0DA0">
        <w:tblPrEx>
          <w:tblCellMar>
            <w:left w:w="108" w:type="dxa"/>
            <w:right w:w="108" w:type="dxa"/>
          </w:tblCellMar>
        </w:tblPrEx>
        <w:trPr>
          <w:cantSplit/>
          <w:trHeight w:val="259"/>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FB0DA0" w:rsidRDefault="00FB0DA0" w:rsidP="00A9338E">
            <w:pPr>
              <w:widowControl w:val="0"/>
              <w:spacing w:after="0" w:line="240" w:lineRule="auto"/>
              <w:ind w:left="426" w:right="-143" w:hanging="426"/>
              <w:jc w:val="center"/>
              <w:rPr>
                <w:rFonts w:ascii="Times New Roman" w:eastAsia="Times New Roman" w:hAnsi="Times New Roman" w:cs="Times New Roman"/>
                <w:b/>
                <w:color w:val="000000"/>
                <w:sz w:val="20"/>
                <w:szCs w:val="20"/>
                <w:lang w:eastAsia="ru-RU"/>
              </w:rPr>
            </w:pPr>
            <w:r w:rsidRPr="00FB0DA0">
              <w:rPr>
                <w:rFonts w:ascii="Times New Roman" w:eastAsia="Times New Roman" w:hAnsi="Times New Roman" w:cs="Times New Roman"/>
                <w:b/>
                <w:color w:val="000000"/>
                <w:sz w:val="20"/>
                <w:szCs w:val="20"/>
                <w:lang w:eastAsia="ru-RU"/>
              </w:rPr>
              <w:t>Показатели в части управления охраной труда</w:t>
            </w:r>
          </w:p>
        </w:tc>
      </w:tr>
      <w:tr w:rsidR="00FB0DA0" w:rsidRPr="00014D10" w:rsidTr="00FB0DA0">
        <w:tblPrEx>
          <w:tblCellMar>
            <w:left w:w="108" w:type="dxa"/>
            <w:right w:w="108" w:type="dxa"/>
          </w:tblCellMar>
        </w:tblPrEx>
        <w:trPr>
          <w:cantSplit/>
          <w:trHeight w:val="122"/>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i/>
                <w:color w:val="000000"/>
                <w:sz w:val="20"/>
                <w:szCs w:val="20"/>
                <w:lang w:eastAsia="ru-RU"/>
              </w:rPr>
            </w:pPr>
            <w:r w:rsidRPr="00FB0DA0">
              <w:rPr>
                <w:rFonts w:ascii="Times New Roman" w:eastAsia="Times New Roman" w:hAnsi="Times New Roman" w:cs="Times New Roman"/>
                <w:bCs/>
                <w:i/>
                <w:color w:val="000000"/>
                <w:sz w:val="20"/>
                <w:szCs w:val="20"/>
                <w:lang w:eastAsia="ru-RU"/>
              </w:rPr>
              <w:t>Несчастные случаи на производстве</w:t>
            </w:r>
          </w:p>
        </w:tc>
      </w:tr>
      <w:tr w:rsidR="00FB0DA0" w:rsidRPr="00014D10" w:rsidTr="00FB0DA0">
        <w:tblPrEx>
          <w:tblCellMar>
            <w:left w:w="108" w:type="dxa"/>
            <w:right w:w="108" w:type="dxa"/>
          </w:tblCellMar>
        </w:tblPrEx>
        <w:trPr>
          <w:cantSplit/>
          <w:trHeight w:val="190"/>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Для работников:</w:t>
            </w:r>
          </w:p>
        </w:tc>
      </w:tr>
      <w:tr w:rsidR="00FB0DA0" w:rsidRPr="002E60AF"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r w:rsidRPr="00FB0DA0">
              <w:rPr>
                <w:rFonts w:ascii="Times New Roman" w:eastAsia="Times New Roman" w:hAnsi="Times New Roman" w:cs="Times New Roman"/>
                <w:bCs/>
                <w:color w:val="000000"/>
                <w:sz w:val="20"/>
                <w:szCs w:val="20"/>
                <w:lang w:eastAsia="ru-RU"/>
              </w:rPr>
              <w:t>/</w:t>
            </w:r>
            <w:r>
              <w:rPr>
                <w:rFonts w:ascii="Times New Roman" w:eastAsia="Times New Roman" w:hAnsi="Times New Roman" w:cs="Times New Roman"/>
                <w:bCs/>
                <w:color w:val="000000"/>
                <w:sz w:val="20"/>
                <w:szCs w:val="20"/>
                <w:lang w:eastAsia="ru-RU"/>
              </w:rPr>
              <w:t>шт.</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3/3</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2/2</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1/1</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-50</w:t>
            </w:r>
          </w:p>
        </w:tc>
      </w:tr>
      <w:tr w:rsidR="00FB0DA0" w:rsidRPr="002E60AF" w:rsidTr="00FB0DA0">
        <w:tblPrEx>
          <w:tblCellMar>
            <w:left w:w="108" w:type="dxa"/>
            <w:right w:w="108" w:type="dxa"/>
          </w:tblCellMar>
        </w:tblPrEx>
        <w:trPr>
          <w:gridAfter w:val="1"/>
          <w:wAfter w:w="12" w:type="dxa"/>
          <w:cantSplit/>
          <w:trHeight w:val="950"/>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r w:rsidRPr="00FB0DA0">
              <w:rPr>
                <w:rFonts w:ascii="Times New Roman" w:eastAsia="Times New Roman" w:hAnsi="Times New Roman" w:cs="Times New Roman"/>
                <w:bCs/>
                <w:color w:val="000000"/>
                <w:sz w:val="20"/>
                <w:szCs w:val="20"/>
                <w:lang w:eastAsia="ru-RU"/>
              </w:rPr>
              <w:t>/</w:t>
            </w:r>
            <w:r>
              <w:rPr>
                <w:rFonts w:ascii="Times New Roman" w:eastAsia="Times New Roman" w:hAnsi="Times New Roman" w:cs="Times New Roman"/>
                <w:bCs/>
                <w:color w:val="000000"/>
                <w:sz w:val="20"/>
                <w:szCs w:val="20"/>
                <w:lang w:eastAsia="ru-RU"/>
              </w:rPr>
              <w:t>шт.</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1/1</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4/4</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400</w:t>
            </w:r>
          </w:p>
        </w:tc>
      </w:tr>
      <w:tr w:rsidR="00FB0DA0" w:rsidRPr="002E60AF" w:rsidTr="00FB0DA0">
        <w:tblPrEx>
          <w:tblCellMar>
            <w:left w:w="108" w:type="dxa"/>
            <w:right w:w="108" w:type="dxa"/>
          </w:tblCellMar>
        </w:tblPrEx>
        <w:trPr>
          <w:cantSplit/>
          <w:trHeight w:val="202"/>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right="-143"/>
              <w:rPr>
                <w:rFonts w:ascii="Times New Roman" w:eastAsia="Times New Roman" w:hAnsi="Times New Roman" w:cs="Times New Roman"/>
                <w:color w:val="000000"/>
                <w:sz w:val="20"/>
                <w:szCs w:val="20"/>
                <w:lang w:eastAsia="ru-RU"/>
              </w:rPr>
            </w:pPr>
            <w:r w:rsidRPr="00FB0DA0">
              <w:rPr>
                <w:rFonts w:ascii="Times New Roman" w:eastAsia="Times New Roman" w:hAnsi="Times New Roman" w:cs="Times New Roman"/>
                <w:sz w:val="20"/>
                <w:szCs w:val="20"/>
                <w:lang w:eastAsia="ru-RU"/>
              </w:rPr>
              <w:lastRenderedPageBreak/>
              <w:t>Для лиц, которые не являются работниками, но работа и (или) рабоч</w:t>
            </w:r>
            <w:r>
              <w:rPr>
                <w:rFonts w:ascii="Times New Roman" w:eastAsia="Times New Roman" w:hAnsi="Times New Roman" w:cs="Times New Roman"/>
                <w:sz w:val="20"/>
                <w:szCs w:val="20"/>
                <w:lang w:eastAsia="ru-RU"/>
              </w:rPr>
              <w:t xml:space="preserve">ее место которых контролируется </w:t>
            </w:r>
            <w:r w:rsidRPr="00FB0DA0">
              <w:rPr>
                <w:rFonts w:ascii="Times New Roman" w:eastAsia="Times New Roman" w:hAnsi="Times New Roman" w:cs="Times New Roman"/>
                <w:sz w:val="20"/>
                <w:szCs w:val="20"/>
                <w:lang w:eastAsia="ru-RU"/>
              </w:rPr>
              <w:t>Обществом:</w:t>
            </w:r>
          </w:p>
        </w:tc>
      </w:tr>
      <w:tr w:rsidR="00FB0DA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Численность пострадавших в результате несчастных случаев на производстве со смертельным исходом, количество несчастных случаев на производстве со смертельным исходом</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r w:rsidRPr="00FB0DA0">
              <w:rPr>
                <w:rFonts w:ascii="Times New Roman" w:eastAsia="Times New Roman" w:hAnsi="Times New Roman" w:cs="Times New Roman"/>
                <w:bCs/>
                <w:color w:val="000000"/>
                <w:sz w:val="20"/>
                <w:szCs w:val="20"/>
                <w:lang w:eastAsia="ru-RU"/>
              </w:rPr>
              <w:t>/</w:t>
            </w:r>
            <w:r>
              <w:rPr>
                <w:rFonts w:ascii="Times New Roman" w:eastAsia="Times New Roman" w:hAnsi="Times New Roman" w:cs="Times New Roman"/>
                <w:bCs/>
                <w:color w:val="000000"/>
                <w:sz w:val="20"/>
                <w:szCs w:val="20"/>
                <w:lang w:eastAsia="ru-RU"/>
              </w:rPr>
              <w:t>шт.</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w:t>
            </w:r>
          </w:p>
        </w:tc>
      </w:tr>
      <w:tr w:rsidR="00FB0DA0" w:rsidTr="00FB0DA0">
        <w:tblPrEx>
          <w:tblCellMar>
            <w:left w:w="108" w:type="dxa"/>
            <w:right w:w="108" w:type="dxa"/>
          </w:tblCellMar>
        </w:tblPrEx>
        <w:trPr>
          <w:gridAfter w:val="1"/>
          <w:wAfter w:w="12" w:type="dxa"/>
          <w:cantSplit/>
          <w:trHeight w:val="1046"/>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Численность пострадавших в результате несчастных случаев на производстве с травмами тяжелой степени тяжести, количество несчастных случаев на производстве с травмами тяжелой степени тяжести</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r w:rsidRPr="00FB0DA0">
              <w:rPr>
                <w:rFonts w:ascii="Times New Roman" w:eastAsia="Times New Roman" w:hAnsi="Times New Roman" w:cs="Times New Roman"/>
                <w:bCs/>
                <w:color w:val="000000"/>
                <w:sz w:val="20"/>
                <w:szCs w:val="20"/>
                <w:lang w:eastAsia="ru-RU"/>
              </w:rPr>
              <w:t>/</w:t>
            </w:r>
            <w:r>
              <w:rPr>
                <w:rFonts w:ascii="Times New Roman" w:eastAsia="Times New Roman" w:hAnsi="Times New Roman" w:cs="Times New Roman"/>
                <w:bCs/>
                <w:color w:val="000000"/>
                <w:sz w:val="20"/>
                <w:szCs w:val="20"/>
                <w:lang w:eastAsia="ru-RU"/>
              </w:rPr>
              <w:t>шт.</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0/0</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w:t>
            </w:r>
          </w:p>
        </w:tc>
      </w:tr>
      <w:tr w:rsidR="00FB0DA0" w:rsidTr="00FB0DA0">
        <w:tblPrEx>
          <w:tblCellMar>
            <w:left w:w="108" w:type="dxa"/>
            <w:right w:w="108" w:type="dxa"/>
          </w:tblCellMar>
        </w:tblPrEx>
        <w:trPr>
          <w:cantSplit/>
          <w:trHeight w:val="122"/>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2E60AF" w:rsidRDefault="00FB0DA0" w:rsidP="00FB0DA0">
            <w:pPr>
              <w:widowControl w:val="0"/>
              <w:spacing w:after="0" w:line="240" w:lineRule="auto"/>
              <w:ind w:left="426" w:right="-143" w:hanging="426"/>
              <w:rPr>
                <w:rFonts w:ascii="Times New Roman" w:eastAsia="Times New Roman" w:hAnsi="Times New Roman" w:cs="Times New Roman"/>
                <w:bCs/>
                <w:sz w:val="20"/>
                <w:szCs w:val="20"/>
                <w:lang w:eastAsia="ru-RU"/>
              </w:rPr>
            </w:pPr>
            <w:r>
              <w:rPr>
                <w:rFonts w:ascii="Times New Roman" w:eastAsia="Times New Roman" w:hAnsi="Times New Roman" w:cs="Times New Roman"/>
                <w:i/>
                <w:color w:val="000000"/>
                <w:sz w:val="20"/>
                <w:szCs w:val="20"/>
                <w:lang w:eastAsia="ru-RU"/>
              </w:rPr>
              <w:t>Профессиональные заболевания и работы, связанные с повышенной опасностью</w:t>
            </w:r>
          </w:p>
        </w:tc>
      </w:tr>
      <w:tr w:rsidR="00FB0DA0" w:rsidTr="00FB0DA0">
        <w:tblPrEx>
          <w:tblCellMar>
            <w:left w:w="108" w:type="dxa"/>
            <w:right w:w="108" w:type="dxa"/>
          </w:tblCellMar>
        </w:tblPrEx>
        <w:trPr>
          <w:cantSplit/>
          <w:trHeight w:val="109"/>
          <w:jc w:val="center"/>
        </w:trPr>
        <w:tc>
          <w:tcPr>
            <w:tcW w:w="9933" w:type="dxa"/>
            <w:gridSpan w:val="7"/>
            <w:tcBorders>
              <w:top w:val="single" w:sz="4" w:space="0" w:color="auto"/>
              <w:left w:val="single" w:sz="4" w:space="0" w:color="auto"/>
              <w:bottom w:val="single" w:sz="4" w:space="0" w:color="auto"/>
              <w:right w:val="single" w:sz="4" w:space="0" w:color="auto"/>
            </w:tcBorders>
          </w:tcPr>
          <w:p w:rsidR="00FB0DA0" w:rsidRPr="002E60AF" w:rsidRDefault="00FB0DA0" w:rsidP="00FB0DA0">
            <w:pPr>
              <w:widowControl w:val="0"/>
              <w:spacing w:after="0" w:line="240" w:lineRule="auto"/>
              <w:ind w:left="426" w:right="-143" w:hanging="426"/>
              <w:rPr>
                <w:rFonts w:ascii="Times New Roman" w:eastAsia="Times New Roman" w:hAnsi="Times New Roman" w:cs="Times New Roman"/>
                <w:bCs/>
                <w:sz w:val="20"/>
                <w:szCs w:val="20"/>
                <w:lang w:eastAsia="ru-RU"/>
              </w:rPr>
            </w:pPr>
            <w:r>
              <w:rPr>
                <w:rFonts w:ascii="Times New Roman" w:eastAsia="Times New Roman" w:hAnsi="Times New Roman" w:cs="Times New Roman"/>
                <w:sz w:val="20"/>
                <w:szCs w:val="20"/>
                <w:lang w:eastAsia="ru-RU"/>
              </w:rPr>
              <w:t>Для работников:</w:t>
            </w:r>
          </w:p>
        </w:tc>
      </w:tr>
      <w:tr w:rsidR="00FB0DA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 xml:space="preserve">Число профессиональных заболеваний, повлекших смерть работника в отчетном году </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шт.</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w:t>
            </w:r>
          </w:p>
        </w:tc>
      </w:tr>
      <w:tr w:rsidR="00FB0DA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Количество работников, признанных инвалидами в результате профессионального заболевания в отчетном году</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w:t>
            </w:r>
          </w:p>
        </w:tc>
      </w:tr>
      <w:tr w:rsidR="00FB0DA0" w:rsidTr="00FB0DA0">
        <w:tblPrEx>
          <w:tblCellMar>
            <w:left w:w="108" w:type="dxa"/>
            <w:right w:w="108" w:type="dxa"/>
          </w:tblCellMar>
        </w:tblPrEx>
        <w:trPr>
          <w:gridAfter w:val="1"/>
          <w:wAfter w:w="12" w:type="dxa"/>
          <w:cantSplit/>
          <w:jc w:val="center"/>
        </w:trPr>
        <w:tc>
          <w:tcPr>
            <w:tcW w:w="4390" w:type="dxa"/>
            <w:tcBorders>
              <w:top w:val="single" w:sz="4" w:space="0" w:color="auto"/>
              <w:left w:val="single" w:sz="4" w:space="0" w:color="auto"/>
              <w:bottom w:val="single" w:sz="4" w:space="0" w:color="auto"/>
              <w:right w:val="single" w:sz="4" w:space="0" w:color="auto"/>
            </w:tcBorders>
          </w:tcPr>
          <w:p w:rsidR="00FB0DA0" w:rsidRPr="00FB0DA0" w:rsidRDefault="00FB0DA0" w:rsidP="00FB0DA0">
            <w:pPr>
              <w:widowControl w:val="0"/>
              <w:spacing w:after="0" w:line="240" w:lineRule="auto"/>
              <w:ind w:left="22" w:right="-143" w:hanging="22"/>
              <w:rPr>
                <w:rFonts w:ascii="Times New Roman" w:eastAsia="Times New Roman" w:hAnsi="Times New Roman" w:cs="Times New Roman"/>
                <w:bCs/>
                <w:color w:val="000000"/>
                <w:sz w:val="20"/>
                <w:szCs w:val="20"/>
                <w:lang w:eastAsia="ru-RU"/>
              </w:rPr>
            </w:pPr>
            <w:r w:rsidRPr="00FB0DA0">
              <w:rPr>
                <w:rFonts w:ascii="Times New Roman" w:eastAsia="Times New Roman" w:hAnsi="Times New Roman" w:cs="Times New Roman"/>
                <w:bCs/>
                <w:color w:val="000000"/>
                <w:sz w:val="20"/>
                <w:szCs w:val="20"/>
                <w:lang w:eastAsia="ru-RU"/>
              </w:rPr>
              <w:t xml:space="preserve">Число лиц с установленным в отчетном периоде профессиональным заболеванием </w:t>
            </w:r>
          </w:p>
        </w:tc>
        <w:tc>
          <w:tcPr>
            <w:tcW w:w="1276" w:type="dxa"/>
            <w:tcBorders>
              <w:top w:val="single" w:sz="4" w:space="0" w:color="auto"/>
              <w:left w:val="single" w:sz="4" w:space="0" w:color="auto"/>
              <w:bottom w:val="single" w:sz="4" w:space="0" w:color="auto"/>
              <w:right w:val="single" w:sz="4" w:space="0" w:color="auto"/>
            </w:tcBorders>
          </w:tcPr>
          <w:p w:rsidR="00FB0DA0" w:rsidRDefault="00FB0DA0" w:rsidP="00FB0DA0">
            <w:pPr>
              <w:widowControl w:val="0"/>
              <w:spacing w:after="0" w:line="240" w:lineRule="auto"/>
              <w:ind w:left="426" w:right="-143" w:hanging="426"/>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чел.</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032"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953"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sidRPr="00FB0DA0">
              <w:rPr>
                <w:rFonts w:ascii="Times New Roman" w:eastAsia="Times New Roman" w:hAnsi="Times New Roman" w:cs="Times New Roman"/>
                <w:color w:val="000000"/>
                <w:sz w:val="20"/>
                <w:szCs w:val="20"/>
                <w:lang w:val="en-US" w:eastAsia="ru-RU"/>
              </w:rPr>
              <w:t>0</w:t>
            </w:r>
          </w:p>
        </w:tc>
        <w:tc>
          <w:tcPr>
            <w:tcW w:w="1136" w:type="dxa"/>
            <w:tcBorders>
              <w:top w:val="single" w:sz="4" w:space="0" w:color="auto"/>
              <w:left w:val="single" w:sz="4" w:space="0" w:color="auto"/>
              <w:bottom w:val="single" w:sz="4" w:space="0" w:color="auto"/>
              <w:right w:val="single" w:sz="4" w:space="0" w:color="auto"/>
            </w:tcBorders>
            <w:shd w:val="clear" w:color="auto" w:fill="auto"/>
          </w:tcPr>
          <w:p w:rsidR="00FB0DA0" w:rsidRPr="00FB0DA0" w:rsidRDefault="00FB0DA0" w:rsidP="00FB0DA0">
            <w:pPr>
              <w:widowControl w:val="0"/>
              <w:spacing w:after="0" w:line="240" w:lineRule="auto"/>
              <w:ind w:left="426" w:right="-143" w:hanging="426"/>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0</w:t>
            </w:r>
          </w:p>
        </w:tc>
      </w:tr>
    </w:tbl>
    <w:p w:rsidR="00152AF9" w:rsidRDefault="00152AF9" w:rsidP="008275D9">
      <w:pPr>
        <w:pStyle w:val="1"/>
        <w:ind w:firstLine="709"/>
      </w:pPr>
    </w:p>
    <w:p w:rsidR="008275D9" w:rsidRPr="00B369F9" w:rsidRDefault="008275D9" w:rsidP="008275D9">
      <w:pPr>
        <w:pStyle w:val="1"/>
        <w:ind w:firstLine="709"/>
      </w:pPr>
      <w:bookmarkStart w:id="25" w:name="_Toc163738869"/>
      <w:r w:rsidRPr="00B369F9">
        <w:t>Инновационная деятельность</w:t>
      </w:r>
      <w:bookmarkEnd w:id="25"/>
    </w:p>
    <w:p w:rsidR="008275D9" w:rsidRPr="000D42F0" w:rsidRDefault="008275D9" w:rsidP="000D42F0">
      <w:pPr>
        <w:spacing w:after="0" w:line="240" w:lineRule="auto"/>
        <w:ind w:firstLine="709"/>
        <w:jc w:val="center"/>
        <w:rPr>
          <w:rFonts w:ascii="Times New Roman" w:hAnsi="Times New Roman" w:cs="Times New Roman"/>
          <w:b/>
          <w:sz w:val="24"/>
          <w:szCs w:val="24"/>
        </w:rPr>
      </w:pPr>
    </w:p>
    <w:p w:rsidR="000D42F0" w:rsidRPr="000D42F0" w:rsidRDefault="000D42F0" w:rsidP="000D42F0">
      <w:pPr>
        <w:spacing w:after="0" w:line="240" w:lineRule="auto"/>
        <w:ind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 xml:space="preserve">Инновационная деятельность АО «Чеченэнерго» осуществляется в соответствии с Программой инновационного развития ПАО «Россети» (далее – Программа), разработанной с целью формирования эффективных механизмов, направленных на модернизацию электросетевого комплекса, активизацию научно-технической и изобретательской деятельности, адаптацию к внедрению нововведений, совершенствование и развитие инновационной системы. </w:t>
      </w:r>
    </w:p>
    <w:p w:rsidR="000D42F0" w:rsidRPr="000D42F0" w:rsidRDefault="000D42F0" w:rsidP="000D42F0">
      <w:pPr>
        <w:spacing w:after="0" w:line="240" w:lineRule="auto"/>
        <w:ind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 xml:space="preserve">Программа инновационного развития ПАО «Россети» (далее – ПИР) определяет и систематизирует инновационную и научно-техническую деятельность АО «Чеченэнерго» и его структурных подразделений, устанавливает мероприятия в области научного, технического, технологического и инновационного развития. Требования ПИР обязательны для исполнения всеми структурными подразделениями Общества, осуществляющими деятельность в области организации, исполнения и контроля технологического развития, инноваций, модернизации электросетевого комплекса, развития и автоматизации систем управления, в том числе и для АО «Чеченэнерго». </w:t>
      </w:r>
    </w:p>
    <w:p w:rsidR="000D42F0" w:rsidRPr="000D42F0" w:rsidRDefault="000D42F0" w:rsidP="000D42F0">
      <w:pPr>
        <w:spacing w:after="0" w:line="240" w:lineRule="auto"/>
        <w:ind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 xml:space="preserve">Программа является ключевым основополагающим документом </w:t>
      </w:r>
      <w:r w:rsidRPr="000D42F0">
        <w:rPr>
          <w:rFonts w:ascii="Times New Roman" w:hAnsi="Times New Roman" w:cs="Times New Roman"/>
          <w:sz w:val="24"/>
          <w:szCs w:val="28"/>
        </w:rPr>
        <w:br/>
        <w:t xml:space="preserve">АО «Чеченэнерго» в области научно-технического развития, новых разработок и исследований. Программа определяет и систематизирует инновационную деятельность и устанавливает мероприятия в области научного, технического, технологического и инновационного развития. </w:t>
      </w:r>
    </w:p>
    <w:p w:rsidR="000D42F0" w:rsidRPr="000D42F0" w:rsidRDefault="000D42F0" w:rsidP="000D42F0">
      <w:pPr>
        <w:spacing w:after="0" w:line="240" w:lineRule="auto"/>
        <w:ind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Целью инновационного развития является переход к электрической сети нового технологического уклада с качественно новыми характеристиками надежности, эффективности, доступности, управляемости и клиентоориентированности электросетевого комплекса в целом. Под электрической сетью нового технологического уклада понимается электроэнергетическая система, характеризующаяся следующими основными свойствами:</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автоматическое управление электросети на принципах распределенного (мультиагентного) управления;</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самодиагностика в режиме реального времени параметров и режимов работы энергосистемы, отдельных объектов и единиц оборудования с целью повышения системной и потребительской надежности, снижения операционных издержек и т.д.;</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lastRenderedPageBreak/>
        <w:t>гибкая автоматическая реконфигурация сети в ответ на изменение ее параметров и топологии (в том числе предотвращение аварий/самовосстановление сети после аварий);</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предоставление различным категориям потребителей специализированных услуг и сервисов.</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Реализация Программы направлена на создание в Обществе эффективных условий для обеспечения:</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достижения целевых показателей производительности труда и создания высокопроизводительных рабочих мест, предусмотренных в Указе Президента Российской Федерации от 07.05.2012 № 596 «О долгосрочной государственной экономической политике»;</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разработки и реализации комплекса мер, направленных на отказ от использования устаревших и неэффективных технологий и внедрение современных российских технологий;</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лидерства Общества в своей отрасли по отношению к компаниям – аналогам, в том числе зарубежным;</w:t>
      </w:r>
    </w:p>
    <w:p w:rsidR="000D42F0"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роста долгосрочного инвестирования в фундаментальные и прикладные исследования и разработки;</w:t>
      </w:r>
    </w:p>
    <w:p w:rsidR="008275D9" w:rsidRPr="000D42F0" w:rsidRDefault="000D42F0" w:rsidP="006148A8">
      <w:pPr>
        <w:pStyle w:val="af8"/>
        <w:numPr>
          <w:ilvl w:val="0"/>
          <w:numId w:val="15"/>
        </w:numPr>
        <w:ind w:left="0" w:firstLine="709"/>
        <w:contextualSpacing/>
        <w:jc w:val="both"/>
        <w:rPr>
          <w:rFonts w:ascii="Times New Roman" w:hAnsi="Times New Roman" w:cs="Times New Roman"/>
          <w:sz w:val="24"/>
          <w:szCs w:val="28"/>
        </w:rPr>
      </w:pPr>
      <w:r w:rsidRPr="000D42F0">
        <w:rPr>
          <w:rFonts w:ascii="Times New Roman" w:hAnsi="Times New Roman" w:cs="Times New Roman"/>
          <w:sz w:val="24"/>
          <w:szCs w:val="28"/>
        </w:rPr>
        <w:t>увязки программы инновационного развития с утвержденными долгосрочными программами развития, инвестиционной программой, другими документами Общества, а также документами государственного стратегического планирования</w:t>
      </w:r>
      <w:r w:rsidR="008275D9" w:rsidRPr="000D42F0">
        <w:rPr>
          <w:rFonts w:ascii="Times New Roman" w:hAnsi="Times New Roman" w:cs="Times New Roman"/>
          <w:sz w:val="24"/>
          <w:szCs w:val="28"/>
        </w:rPr>
        <w:t>.</w:t>
      </w:r>
    </w:p>
    <w:p w:rsidR="008275D9" w:rsidRPr="00B369F9" w:rsidRDefault="008275D9" w:rsidP="008275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Ключевые направления инновационного развития:</w:t>
      </w:r>
    </w:p>
    <w:p w:rsidR="00DB2C35" w:rsidRPr="00DB2C35" w:rsidRDefault="00DB2C35" w:rsidP="00DB2C35">
      <w:pPr>
        <w:spacing w:after="0" w:line="240" w:lineRule="auto"/>
        <w:ind w:firstLine="709"/>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В области технологических инноваций:</w:t>
      </w:r>
    </w:p>
    <w:p w:rsidR="00DB2C35" w:rsidRPr="00DB2C35" w:rsidRDefault="00DB2C35" w:rsidP="006148A8">
      <w:pPr>
        <w:numPr>
          <w:ilvl w:val="0"/>
          <w:numId w:val="4"/>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новые технологии и решения - деятельность в области создания новых видов материалов, изоляции, оборудования, участвующего в основных бизнес-процессах компании (изоляторы-разрядники, материалы, основанные на высокотемпературной сверхпроводимости, новые способы дугогашения, новые виды изоляции, силовая электроника и т.д.).</w:t>
      </w:r>
    </w:p>
    <w:p w:rsidR="00DB2C35" w:rsidRPr="00DB2C35" w:rsidRDefault="00DB2C35" w:rsidP="006148A8">
      <w:pPr>
        <w:numPr>
          <w:ilvl w:val="0"/>
          <w:numId w:val="4"/>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оцифровка процессов управления и технологических процессов - переход от аналогового к цифровому принципу управления автоматики релейной защиты и противоаварийной автоматики, автоматизированной системы управления технологическими процессами, учета электроэнергии и связи (применение цифровых измерительных трансформаторов); цифровое моделирование и проектирование; цифровизация управления производственными активами; внедрение цифровых систем наблюдения технологических процессов.</w:t>
      </w:r>
    </w:p>
    <w:p w:rsidR="00DB2C35" w:rsidRPr="00DB2C35" w:rsidRDefault="00DB2C35" w:rsidP="006148A8">
      <w:pPr>
        <w:numPr>
          <w:ilvl w:val="0"/>
          <w:numId w:val="4"/>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развитие мультиагентных систем - развитие принципов взаимодействия в системах управления peer-to-peer</w:t>
      </w:r>
      <w:r>
        <w:rPr>
          <w:rStyle w:val="af7"/>
          <w:rFonts w:ascii="Times New Roman" w:eastAsia="Times New Roman" w:hAnsi="Times New Roman" w:cs="Times New Roman"/>
          <w:sz w:val="24"/>
          <w:szCs w:val="28"/>
        </w:rPr>
        <w:footnoteReference w:id="6"/>
      </w:r>
      <w:r w:rsidRPr="00DB2C35">
        <w:rPr>
          <w:rFonts w:ascii="Times New Roman" w:eastAsia="Times New Roman" w:hAnsi="Times New Roman" w:cs="Times New Roman"/>
          <w:sz w:val="24"/>
          <w:szCs w:val="28"/>
        </w:rPr>
        <w:t xml:space="preserve"> между элементами и системами электрических сетей (внедрение распределенных интеллектуальных систем управления).</w:t>
      </w:r>
    </w:p>
    <w:p w:rsidR="000D42F0" w:rsidRPr="00DB2C35" w:rsidRDefault="00DB2C35" w:rsidP="00DB2C35">
      <w:pPr>
        <w:spacing w:after="0" w:line="240" w:lineRule="auto"/>
        <w:ind w:firstLine="709"/>
        <w:jc w:val="both"/>
        <w:rPr>
          <w:rFonts w:ascii="Times New Roman" w:hAnsi="Times New Roman" w:cs="Times New Roman"/>
          <w:szCs w:val="24"/>
        </w:rPr>
      </w:pPr>
      <w:r w:rsidRPr="00DB2C35">
        <w:rPr>
          <w:rFonts w:ascii="Times New Roman" w:eastAsia="Times New Roman" w:hAnsi="Times New Roman" w:cs="Times New Roman"/>
          <w:sz w:val="24"/>
          <w:szCs w:val="28"/>
        </w:rPr>
        <w:t>повышение активности и адаптивности электрических сетей - развитие свойств сети для повышения устойчивости к возмущениям в сети и автоматического восстановления нормального режима работы (адаптивные устройства РЗА, системы регулирования, логическая автоматика, цифровая онлайн-модель сети).</w:t>
      </w:r>
    </w:p>
    <w:p w:rsidR="008275D9" w:rsidRPr="00B369F9" w:rsidRDefault="008275D9" w:rsidP="008275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области организационных и маркетинговых инноваций:</w:t>
      </w:r>
    </w:p>
    <w:p w:rsidR="00DB2C35" w:rsidRPr="00DB2C35" w:rsidRDefault="00DB2C35" w:rsidP="006148A8">
      <w:pPr>
        <w:numPr>
          <w:ilvl w:val="0"/>
          <w:numId w:val="5"/>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проектирование новых и системный реинжиниринг существующих бизнес-процессов с точки зрения комплексной эффективности - управление производственными активами, системы менеджмента, клиентские сервисы, управление жизненным циклом систем.</w:t>
      </w:r>
    </w:p>
    <w:p w:rsidR="00DB2C35" w:rsidRPr="00DB2C35" w:rsidRDefault="00DB2C35" w:rsidP="006148A8">
      <w:pPr>
        <w:numPr>
          <w:ilvl w:val="0"/>
          <w:numId w:val="5"/>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lastRenderedPageBreak/>
        <w:t>инновационность управления персоналом - внедрение актуальных для современных условий технологий управления человеческими ресурсами.</w:t>
      </w:r>
    </w:p>
    <w:p w:rsidR="00DB2C35" w:rsidRPr="00DB2C35" w:rsidRDefault="00DB2C35" w:rsidP="006148A8">
      <w:pPr>
        <w:numPr>
          <w:ilvl w:val="0"/>
          <w:numId w:val="5"/>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формирование инновационного окружения - стимулирование формирования широкого спектра инновационных компаний, научных организаций и образовательных учреждений.</w:t>
      </w:r>
    </w:p>
    <w:p w:rsidR="008275D9" w:rsidRPr="00B369F9" w:rsidRDefault="008275D9" w:rsidP="008275D9">
      <w:pPr>
        <w:tabs>
          <w:tab w:val="left" w:pos="1134"/>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Мероприятия Программы инновационного развития:</w:t>
      </w:r>
    </w:p>
    <w:p w:rsidR="00DB2C35" w:rsidRPr="00DB2C35" w:rsidRDefault="00DB2C35" w:rsidP="006148A8">
      <w:pPr>
        <w:numPr>
          <w:ilvl w:val="0"/>
          <w:numId w:val="6"/>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Переход к комплексной эффективности бизнес-процессов и автоматизации систем управления.</w:t>
      </w:r>
    </w:p>
    <w:p w:rsidR="00DB2C35" w:rsidRPr="00DB2C35" w:rsidRDefault="00DB2C35" w:rsidP="006148A8">
      <w:pPr>
        <w:numPr>
          <w:ilvl w:val="0"/>
          <w:numId w:val="6"/>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Развитие системы разработки и внедрения инновационной продукции и технологий.</w:t>
      </w:r>
    </w:p>
    <w:p w:rsidR="00DB2C35" w:rsidRPr="00DB2C35" w:rsidRDefault="00DB2C35" w:rsidP="006148A8">
      <w:pPr>
        <w:numPr>
          <w:ilvl w:val="0"/>
          <w:numId w:val="6"/>
        </w:numPr>
        <w:tabs>
          <w:tab w:val="left" w:pos="851"/>
        </w:tabs>
        <w:spacing w:after="0" w:line="240" w:lineRule="auto"/>
        <w:ind w:left="0" w:firstLine="709"/>
        <w:contextualSpacing/>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Развитие кадрового потенциала и партнерства в сфере образования.</w:t>
      </w:r>
    </w:p>
    <w:p w:rsidR="00DB2C35" w:rsidRPr="00DB2C35" w:rsidRDefault="00DB2C35" w:rsidP="00DB2C35">
      <w:pPr>
        <w:spacing w:after="0" w:line="240" w:lineRule="auto"/>
        <w:ind w:firstLine="709"/>
        <w:jc w:val="both"/>
        <w:rPr>
          <w:rFonts w:ascii="Times New Roman" w:eastAsia="Times New Roman" w:hAnsi="Times New Roman" w:cs="Times New Roman"/>
          <w:sz w:val="24"/>
          <w:szCs w:val="28"/>
        </w:rPr>
      </w:pPr>
      <w:r w:rsidRPr="00DB2C35">
        <w:rPr>
          <w:rFonts w:ascii="Times New Roman" w:eastAsia="Times New Roman" w:hAnsi="Times New Roman" w:cs="Times New Roman"/>
          <w:sz w:val="24"/>
          <w:szCs w:val="28"/>
        </w:rPr>
        <w:t>Деятельность Общества по инновационному и научно-техническому развитию в 2023 году проводилась в соответствии с Политикой инновационного развития ПАО</w:t>
      </w:r>
      <w:r>
        <w:rPr>
          <w:rFonts w:ascii="Times New Roman" w:eastAsia="Times New Roman" w:hAnsi="Times New Roman" w:cs="Times New Roman"/>
          <w:sz w:val="24"/>
          <w:szCs w:val="28"/>
        </w:rPr>
        <w:t> </w:t>
      </w:r>
      <w:r w:rsidRPr="00DB2C35">
        <w:rPr>
          <w:rFonts w:ascii="Times New Roman" w:eastAsia="Times New Roman" w:hAnsi="Times New Roman" w:cs="Times New Roman"/>
          <w:sz w:val="24"/>
          <w:szCs w:val="28"/>
        </w:rPr>
        <w:t>«Россети Северный Кавказ» (утвержден</w:t>
      </w:r>
      <w:r>
        <w:rPr>
          <w:rFonts w:ascii="Times New Roman" w:eastAsia="Times New Roman" w:hAnsi="Times New Roman" w:cs="Times New Roman"/>
          <w:sz w:val="24"/>
          <w:szCs w:val="28"/>
        </w:rPr>
        <w:t>н</w:t>
      </w:r>
      <w:r w:rsidRPr="00DB2C35">
        <w:rPr>
          <w:rFonts w:ascii="Times New Roman" w:eastAsia="Times New Roman" w:hAnsi="Times New Roman" w:cs="Times New Roman"/>
          <w:sz w:val="24"/>
          <w:szCs w:val="28"/>
        </w:rPr>
        <w:t>ой решением Совета директоров ПАО</w:t>
      </w:r>
      <w:r>
        <w:rPr>
          <w:rFonts w:ascii="Times New Roman" w:eastAsia="Times New Roman" w:hAnsi="Times New Roman" w:cs="Times New Roman"/>
          <w:sz w:val="24"/>
          <w:szCs w:val="28"/>
        </w:rPr>
        <w:t> </w:t>
      </w:r>
      <w:r w:rsidRPr="00DB2C35">
        <w:rPr>
          <w:rFonts w:ascii="Times New Roman" w:eastAsia="Times New Roman" w:hAnsi="Times New Roman" w:cs="Times New Roman"/>
          <w:sz w:val="24"/>
          <w:szCs w:val="28"/>
        </w:rPr>
        <w:t>«Россети Северный Кавказ» от 21.07.2022 №269).</w:t>
      </w:r>
    </w:p>
    <w:p w:rsidR="008275D9" w:rsidRPr="00B369F9" w:rsidRDefault="008275D9" w:rsidP="00DB2C35">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Перечень реализуемых мероприятий Программы инновационного развития:</w:t>
      </w:r>
    </w:p>
    <w:p w:rsidR="00DB2C35" w:rsidRPr="00DB2C35" w:rsidRDefault="00DB2C35" w:rsidP="00DB2C35">
      <w:pPr>
        <w:spacing w:after="0" w:line="240" w:lineRule="auto"/>
        <w:ind w:firstLine="709"/>
        <w:jc w:val="both"/>
        <w:rPr>
          <w:rFonts w:ascii="Times New Roman" w:eastAsia="Calibri" w:hAnsi="Times New Roman" w:cs="Times New Roman"/>
          <w:sz w:val="24"/>
          <w:szCs w:val="24"/>
        </w:rPr>
      </w:pPr>
      <w:bookmarkStart w:id="26" w:name="_Toc477269913"/>
      <w:r w:rsidRPr="00DB2C35">
        <w:rPr>
          <w:rFonts w:ascii="Times New Roman" w:eastAsia="Calibri" w:hAnsi="Times New Roman" w:cs="Times New Roman"/>
          <w:sz w:val="24"/>
          <w:szCs w:val="24"/>
        </w:rPr>
        <w:t>1. Развитие системы управления производственными активами (СУПА)</w:t>
      </w:r>
      <w:r>
        <w:rPr>
          <w:rFonts w:ascii="Times New Roman" w:eastAsia="Calibri" w:hAnsi="Times New Roman" w:cs="Times New Roman"/>
          <w:sz w:val="24"/>
          <w:szCs w:val="24"/>
        </w:rPr>
        <w:t>.</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 xml:space="preserve">Основной целью развития СУПА является повышение эффективности управления предприятием. </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Задачи развития СУПА:</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DB2C35">
        <w:rPr>
          <w:rFonts w:ascii="Times New Roman" w:eastAsia="Times New Roman" w:hAnsi="Times New Roman" w:cs="Times New Roman"/>
          <w:sz w:val="24"/>
          <w:szCs w:val="24"/>
          <w:lang w:eastAsia="ar-SA"/>
        </w:rPr>
        <w:t>создание единого информационного пространства предприятия, позволяющего использовать всю накопленную информацию о ходе производственного процесса для принятия управленческих решений;</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DB2C35">
        <w:rPr>
          <w:rFonts w:ascii="Times New Roman" w:eastAsia="Times New Roman" w:hAnsi="Times New Roman" w:cs="Times New Roman"/>
          <w:sz w:val="24"/>
          <w:szCs w:val="24"/>
          <w:lang w:eastAsia="ar-SA"/>
        </w:rPr>
        <w:t>создание комплексной системы управления техническим обслуживанием, диагностикой и техническим освидетельствованием электросетевого оборудования;</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DB2C35">
        <w:rPr>
          <w:rFonts w:ascii="Times New Roman" w:eastAsia="Times New Roman" w:hAnsi="Times New Roman" w:cs="Times New Roman"/>
          <w:sz w:val="24"/>
          <w:szCs w:val="24"/>
          <w:lang w:eastAsia="ar-SA"/>
        </w:rPr>
        <w:t>организация быстрого и надежного механизма документооборота;</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Pr="00DB2C35">
        <w:rPr>
          <w:rFonts w:ascii="Times New Roman" w:eastAsia="Times New Roman" w:hAnsi="Times New Roman" w:cs="Times New Roman"/>
          <w:sz w:val="24"/>
          <w:szCs w:val="24"/>
          <w:lang w:eastAsia="ar-SA"/>
        </w:rPr>
        <w:t>максимальная автоматизация рутинных учетных процедур.</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СУПА должна быть целостным программно-аппаратным комплексом, позволяющим удовлетворить как текущие, так и будущие потребности Общества в обработке данных. В качестве типовой конфигурации для создания и внедрения использованы прикладные решения.</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В соответствии с Планом развития системы управления производственными активами ПАО «Россети Северный Кавказ» на 2022-2024 гг., утвержденным протоколом Совета директоров ПАО «Россети Северный Кавказ» от 11.10.2023 № 540 в 2023 году реализованы мероприятия по усовершенствованию СУПА:</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Реализованы мероприятия по интеграции СУПА с автоматизированной системой управления ремонтами энергетического оборудования (ПК Заявка, ПК Ремонт).</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Реализованы мероприятия по устранению замечаний к работе информационных систем АСУ ТПиР, АСУ ТОиР и смежных функциональных модулей СУПА, препятствующих корректному формированию производственных программ и сетевой отчетности.</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Реализуются мероприятия по доработке функционала СУПА для паспортизации вторичного оборудования и планирования мероприятий ТОиР по вторичному оборудованию.</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Реализуются мероприятия по централизации информационных баз данных СУПА на новой платформе.</w:t>
      </w:r>
    </w:p>
    <w:p w:rsidR="00DB2C35" w:rsidRPr="00DB2C35" w:rsidRDefault="00DB2C35" w:rsidP="006148A8">
      <w:pPr>
        <w:numPr>
          <w:ilvl w:val="0"/>
          <w:numId w:val="8"/>
        </w:numPr>
        <w:suppressAutoHyphens/>
        <w:spacing w:after="0" w:line="240" w:lineRule="auto"/>
        <w:ind w:left="0"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СУПА на новой платформе.</w:t>
      </w:r>
    </w:p>
    <w:p w:rsidR="00DB2C35" w:rsidRPr="00DB2C35" w:rsidRDefault="00DB2C35" w:rsidP="006148A8">
      <w:pPr>
        <w:numPr>
          <w:ilvl w:val="0"/>
          <w:numId w:val="16"/>
        </w:numPr>
        <w:spacing w:after="0" w:line="240" w:lineRule="auto"/>
        <w:contextualSpacing/>
        <w:rPr>
          <w:rFonts w:ascii="Times New Roman" w:eastAsia="Calibri" w:hAnsi="Times New Roman" w:cs="Times New Roman"/>
          <w:sz w:val="24"/>
          <w:szCs w:val="24"/>
        </w:rPr>
      </w:pPr>
      <w:r w:rsidRPr="00DB2C35">
        <w:rPr>
          <w:rFonts w:ascii="Times New Roman" w:eastAsia="Calibri" w:hAnsi="Times New Roman" w:cs="Times New Roman"/>
          <w:sz w:val="24"/>
          <w:szCs w:val="24"/>
        </w:rPr>
        <w:t>Развитие системы управления знаниями</w:t>
      </w:r>
      <w:bookmarkEnd w:id="26"/>
      <w:r w:rsidRPr="00DB2C35">
        <w:rPr>
          <w:rFonts w:ascii="Times New Roman" w:eastAsia="Calibri" w:hAnsi="Times New Roman" w:cs="Times New Roman"/>
          <w:sz w:val="24"/>
          <w:szCs w:val="24"/>
        </w:rPr>
        <w:t>.</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r w:rsidRPr="00DB2C35">
        <w:rPr>
          <w:rFonts w:ascii="Times New Roman" w:eastAsia="Times New Roman" w:hAnsi="Times New Roman" w:cs="Times New Roman"/>
          <w:sz w:val="24"/>
          <w:szCs w:val="24"/>
          <w:lang w:eastAsia="ar-SA"/>
        </w:rPr>
        <w:t xml:space="preserve">В рамках развития системы управления знаниями в Обществе реализуются мероприятия по адаптации к нововведениям, а также по обучению и повышению </w:t>
      </w:r>
      <w:r w:rsidRPr="00DB2C35">
        <w:rPr>
          <w:rFonts w:ascii="Times New Roman" w:eastAsia="Times New Roman" w:hAnsi="Times New Roman" w:cs="Times New Roman"/>
          <w:sz w:val="24"/>
          <w:szCs w:val="24"/>
          <w:lang w:eastAsia="ar-SA"/>
        </w:rPr>
        <w:lastRenderedPageBreak/>
        <w:t>квалификации работников Общества в области высокотехнологичного оборудования и интеллектуальной энергетики.</w:t>
      </w:r>
    </w:p>
    <w:p w:rsidR="00DB2C35" w:rsidRPr="00DB2C35" w:rsidRDefault="00DB2C35" w:rsidP="00DB2C35">
      <w:pPr>
        <w:suppressAutoHyphens/>
        <w:spacing w:after="0" w:line="240" w:lineRule="auto"/>
        <w:ind w:firstLine="709"/>
        <w:jc w:val="both"/>
        <w:rPr>
          <w:rFonts w:ascii="Times New Roman" w:eastAsia="Times New Roman" w:hAnsi="Times New Roman" w:cs="Times New Roman"/>
          <w:sz w:val="24"/>
          <w:szCs w:val="24"/>
          <w:lang w:eastAsia="ar-SA"/>
        </w:rPr>
      </w:pPr>
      <w:bookmarkStart w:id="27" w:name="_Toc477269914"/>
      <w:r w:rsidRPr="00DB2C35">
        <w:rPr>
          <w:rFonts w:ascii="Times New Roman" w:eastAsia="Times New Roman" w:hAnsi="Times New Roman" w:cs="Times New Roman"/>
          <w:sz w:val="24"/>
          <w:szCs w:val="24"/>
          <w:lang w:eastAsia="ar-SA"/>
        </w:rPr>
        <w:t>В целях информационного обеспечения персонала ОА «Чеченэнерго» в области инновационных разработок оборудования, материалов и технологий в 2023 году Департаментом технологического развития и инноваций исполнительного аппарата было организовано проведение ознакомительных и обучающих технических семинаров— совещаний со следующими компаниями:</w:t>
      </w:r>
    </w:p>
    <w:p w:rsidR="00DB2C35" w:rsidRPr="00DB2C35" w:rsidRDefault="00DB2C35" w:rsidP="006148A8">
      <w:pPr>
        <w:numPr>
          <w:ilvl w:val="0"/>
          <w:numId w:val="7"/>
        </w:numPr>
        <w:tabs>
          <w:tab w:val="left" w:pos="0"/>
        </w:tabs>
        <w:spacing w:after="0" w:line="240" w:lineRule="auto"/>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АО «ЧЭАЗ»;</w:t>
      </w:r>
    </w:p>
    <w:p w:rsidR="00DB2C35" w:rsidRPr="00DB2C35" w:rsidRDefault="00DB2C35" w:rsidP="006148A8">
      <w:pPr>
        <w:numPr>
          <w:ilvl w:val="0"/>
          <w:numId w:val="7"/>
        </w:numPr>
        <w:tabs>
          <w:tab w:val="left" w:pos="0"/>
        </w:tabs>
        <w:spacing w:after="0" w:line="240" w:lineRule="auto"/>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ООО «Таврида Электрик»;</w:t>
      </w:r>
    </w:p>
    <w:p w:rsidR="00DB2C35" w:rsidRDefault="00DB2C35" w:rsidP="00DB2C35">
      <w:pPr>
        <w:tabs>
          <w:tab w:val="left" w:pos="0"/>
        </w:tabs>
        <w:spacing w:after="0" w:line="240" w:lineRule="auto"/>
        <w:ind w:firstLine="709"/>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Кроме проводимых на регулярной основе семинаров-совещаний, организовано обеспечение филиалов и управляемых обществ ПАО «Россети Северный Кавказ» раздаточными материалами, содержащими информацию о новых технологиях, современных разработках основных производителей электротехнического оборудования и материалов.</w:t>
      </w:r>
    </w:p>
    <w:p w:rsidR="00DB2C35" w:rsidRPr="00DB2C35" w:rsidRDefault="00DB2C35" w:rsidP="006148A8">
      <w:pPr>
        <w:numPr>
          <w:ilvl w:val="0"/>
          <w:numId w:val="16"/>
        </w:numPr>
        <w:spacing w:after="0" w:line="240" w:lineRule="auto"/>
        <w:contextualSpacing/>
        <w:rPr>
          <w:rFonts w:ascii="Times New Roman" w:eastAsia="Calibri" w:hAnsi="Times New Roman" w:cs="Times New Roman"/>
          <w:sz w:val="24"/>
          <w:szCs w:val="24"/>
        </w:rPr>
      </w:pPr>
      <w:r w:rsidRPr="00DB2C35">
        <w:rPr>
          <w:rFonts w:ascii="Times New Roman" w:eastAsia="Calibri" w:hAnsi="Times New Roman" w:cs="Times New Roman"/>
          <w:sz w:val="24"/>
          <w:szCs w:val="24"/>
        </w:rPr>
        <w:t>Сотрудничество с научными организациями и инновационными компаниями</w:t>
      </w:r>
      <w:bookmarkEnd w:id="27"/>
      <w:r w:rsidRPr="00DB2C35">
        <w:rPr>
          <w:rFonts w:ascii="Times New Roman" w:eastAsia="Calibri" w:hAnsi="Times New Roman" w:cs="Times New Roman"/>
          <w:sz w:val="24"/>
          <w:szCs w:val="24"/>
        </w:rPr>
        <w:t>.</w:t>
      </w:r>
    </w:p>
    <w:p w:rsidR="00DB2C35" w:rsidRPr="00DB2C35" w:rsidRDefault="00DB2C35" w:rsidP="00DB2C35">
      <w:pPr>
        <w:spacing w:after="0" w:line="240" w:lineRule="auto"/>
        <w:ind w:firstLine="709"/>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Обществом</w:t>
      </w:r>
      <w:r w:rsidRPr="00DB2C35">
        <w:rPr>
          <w:rFonts w:ascii="Times New Roman" w:eastAsia="Times New Roman" w:hAnsi="Times New Roman" w:cs="Times New Roman"/>
          <w:sz w:val="24"/>
          <w:szCs w:val="24"/>
        </w:rPr>
        <w:t xml:space="preserve"> заключено Соглашение о сотрудничестве с ФГБОУ ВО «Грозненский государственный нефтяной технический университет им. академика М.Д. Миллионщикова».</w:t>
      </w:r>
    </w:p>
    <w:p w:rsidR="00DB2C35" w:rsidRPr="00DB2C35" w:rsidRDefault="00DB2C35" w:rsidP="00DB2C35">
      <w:pPr>
        <w:spacing w:after="0" w:line="240" w:lineRule="auto"/>
        <w:ind w:firstLine="709"/>
        <w:contextualSpacing/>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С указанными вузом ведется сотрудничество по следующим направлениям деятельности:</w:t>
      </w:r>
    </w:p>
    <w:p w:rsidR="00DB2C35" w:rsidRPr="00DB2C35" w:rsidRDefault="00DB2C35" w:rsidP="006148A8">
      <w:pPr>
        <w:numPr>
          <w:ilvl w:val="0"/>
          <w:numId w:val="7"/>
        </w:numPr>
        <w:spacing w:after="0" w:line="240" w:lineRule="auto"/>
        <w:ind w:left="0" w:firstLine="710"/>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целевая подготовка специалистов для нужд компаний распределительного сетевого комплекса;</w:t>
      </w:r>
    </w:p>
    <w:p w:rsidR="00DB2C35" w:rsidRPr="00DB2C35" w:rsidRDefault="00DB2C35" w:rsidP="006148A8">
      <w:pPr>
        <w:numPr>
          <w:ilvl w:val="0"/>
          <w:numId w:val="7"/>
        </w:numPr>
        <w:spacing w:after="0" w:line="240" w:lineRule="auto"/>
        <w:ind w:left="0" w:firstLine="710"/>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профессиональная подготовка, переподготовка и повышение квалификации работников АО «Чеченэнерго»;</w:t>
      </w:r>
    </w:p>
    <w:p w:rsidR="008275D9" w:rsidRPr="00DB2C35" w:rsidRDefault="00DB2C35" w:rsidP="006148A8">
      <w:pPr>
        <w:numPr>
          <w:ilvl w:val="0"/>
          <w:numId w:val="7"/>
        </w:numPr>
        <w:spacing w:after="0" w:line="240" w:lineRule="auto"/>
        <w:ind w:left="0" w:firstLine="710"/>
        <w:jc w:val="both"/>
        <w:rPr>
          <w:rFonts w:ascii="Times New Roman" w:eastAsia="Times New Roman" w:hAnsi="Times New Roman" w:cs="Times New Roman"/>
          <w:sz w:val="24"/>
          <w:szCs w:val="24"/>
        </w:rPr>
      </w:pPr>
      <w:r w:rsidRPr="00DB2C35">
        <w:rPr>
          <w:rFonts w:ascii="Times New Roman" w:eastAsia="Times New Roman" w:hAnsi="Times New Roman" w:cs="Times New Roman"/>
          <w:sz w:val="24"/>
          <w:szCs w:val="24"/>
        </w:rPr>
        <w:t>организация на площадке университета диалога с участием представителей организаций электроэнергетической отрасли, органов государственной власти, учреждений науки, общественных организаций, других заинтересованных участников для выработки совместных позиций по актуальным вопросам функционирования и развития электросетевого комплекса в области развития электроэнергетики с компаниями инновационного профиля.</w:t>
      </w:r>
    </w:p>
    <w:p w:rsidR="008275D9" w:rsidRPr="00B369F9" w:rsidRDefault="008275D9" w:rsidP="00DB2C35">
      <w:pPr>
        <w:tabs>
          <w:tab w:val="left" w:pos="0"/>
        </w:tabs>
        <w:spacing w:after="0" w:line="240" w:lineRule="auto"/>
        <w:jc w:val="both"/>
        <w:rPr>
          <w:rFonts w:ascii="Times New Roman" w:hAnsi="Times New Roman" w:cs="Times New Roman"/>
          <w:sz w:val="24"/>
          <w:szCs w:val="24"/>
        </w:rPr>
      </w:pPr>
    </w:p>
    <w:p w:rsidR="00093859" w:rsidRPr="00B369F9" w:rsidRDefault="00093859" w:rsidP="00093859">
      <w:pPr>
        <w:tabs>
          <w:tab w:val="left" w:pos="0"/>
        </w:tabs>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Показатели по инновационной деятельности Общества</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0"/>
        <w:gridCol w:w="993"/>
        <w:gridCol w:w="1275"/>
        <w:gridCol w:w="1134"/>
      </w:tblGrid>
      <w:tr w:rsidR="00093859" w:rsidRPr="00635CFC" w:rsidTr="009E4824">
        <w:trPr>
          <w:cantSplit/>
          <w:trHeight w:val="709"/>
          <w:jc w:val="center"/>
        </w:trPr>
        <w:tc>
          <w:tcPr>
            <w:tcW w:w="2689" w:type="dxa"/>
            <w:vMerge w:val="restart"/>
            <w:vAlign w:val="center"/>
          </w:tcPr>
          <w:p w:rsidR="00093859" w:rsidRPr="00635CFC" w:rsidRDefault="00093859" w:rsidP="00093859">
            <w:pPr>
              <w:widowControl w:val="0"/>
              <w:spacing w:after="0" w:line="240" w:lineRule="auto"/>
              <w:ind w:left="-113" w:right="-114"/>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Показатели</w:t>
            </w:r>
          </w:p>
        </w:tc>
        <w:tc>
          <w:tcPr>
            <w:tcW w:w="992" w:type="dxa"/>
            <w:vMerge w:val="restart"/>
            <w:vAlign w:val="center"/>
          </w:tcPr>
          <w:p w:rsidR="00093859" w:rsidRPr="00635CFC" w:rsidRDefault="00093859" w:rsidP="00093859">
            <w:pPr>
              <w:widowControl w:val="0"/>
              <w:tabs>
                <w:tab w:val="left" w:pos="40"/>
              </w:tabs>
              <w:spacing w:after="0" w:line="240" w:lineRule="auto"/>
              <w:ind w:left="-111" w:right="-112"/>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Ед.</w:t>
            </w:r>
            <w:r w:rsidR="00396E11" w:rsidRPr="00635CFC">
              <w:rPr>
                <w:rFonts w:ascii="Times New Roman" w:hAnsi="Times New Roman" w:cs="Times New Roman"/>
                <w:b/>
                <w:bCs/>
                <w:color w:val="000000"/>
                <w:sz w:val="20"/>
                <w:szCs w:val="20"/>
              </w:rPr>
              <w:t xml:space="preserve"> </w:t>
            </w:r>
            <w:r w:rsidRPr="00635CFC">
              <w:rPr>
                <w:rFonts w:ascii="Times New Roman" w:hAnsi="Times New Roman" w:cs="Times New Roman"/>
                <w:b/>
                <w:bCs/>
                <w:color w:val="000000"/>
                <w:sz w:val="20"/>
                <w:szCs w:val="20"/>
              </w:rPr>
              <w:t>изм.</w:t>
            </w:r>
          </w:p>
        </w:tc>
        <w:tc>
          <w:tcPr>
            <w:tcW w:w="4252" w:type="dxa"/>
            <w:gridSpan w:val="4"/>
            <w:vAlign w:val="center"/>
          </w:tcPr>
          <w:p w:rsidR="00093859" w:rsidRPr="00635CFC" w:rsidRDefault="00093859" w:rsidP="00093859">
            <w:pPr>
              <w:widowControl w:val="0"/>
              <w:spacing w:after="0" w:line="240" w:lineRule="auto"/>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Период</w:t>
            </w:r>
          </w:p>
        </w:tc>
      </w:tr>
      <w:tr w:rsidR="00093859" w:rsidRPr="00635CFC" w:rsidTr="009E4824">
        <w:trPr>
          <w:cantSplit/>
          <w:jc w:val="center"/>
        </w:trPr>
        <w:tc>
          <w:tcPr>
            <w:tcW w:w="2689" w:type="dxa"/>
            <w:vMerge/>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
                <w:bCs/>
                <w:color w:val="000000"/>
                <w:sz w:val="20"/>
                <w:szCs w:val="20"/>
              </w:rPr>
            </w:pPr>
          </w:p>
        </w:tc>
        <w:tc>
          <w:tcPr>
            <w:tcW w:w="992" w:type="dxa"/>
            <w:vMerge/>
            <w:vAlign w:val="center"/>
          </w:tcPr>
          <w:p w:rsidR="00093859" w:rsidRPr="00635CFC" w:rsidRDefault="00093859" w:rsidP="00093859">
            <w:pPr>
              <w:widowControl w:val="0"/>
              <w:tabs>
                <w:tab w:val="left" w:pos="40"/>
              </w:tabs>
              <w:spacing w:after="0" w:line="240" w:lineRule="auto"/>
              <w:ind w:left="426" w:right="-143" w:hanging="426"/>
              <w:jc w:val="both"/>
              <w:rPr>
                <w:rFonts w:ascii="Times New Roman" w:hAnsi="Times New Roman" w:cs="Times New Roman"/>
                <w:b/>
                <w:bCs/>
                <w:color w:val="000000"/>
                <w:sz w:val="20"/>
                <w:szCs w:val="20"/>
              </w:rPr>
            </w:pPr>
          </w:p>
        </w:tc>
        <w:tc>
          <w:tcPr>
            <w:tcW w:w="850" w:type="dxa"/>
            <w:vAlign w:val="center"/>
          </w:tcPr>
          <w:p w:rsidR="00093859" w:rsidRPr="00635CFC" w:rsidRDefault="00093859" w:rsidP="00093859">
            <w:pPr>
              <w:widowControl w:val="0"/>
              <w:spacing w:after="0" w:line="240" w:lineRule="auto"/>
              <w:ind w:left="-96" w:right="-122"/>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2021 год</w:t>
            </w:r>
          </w:p>
          <w:p w:rsidR="00093859" w:rsidRPr="00635CFC" w:rsidDel="001A6DB5" w:rsidRDefault="00093859" w:rsidP="00093859">
            <w:pPr>
              <w:widowControl w:val="0"/>
              <w:spacing w:after="0" w:line="240" w:lineRule="auto"/>
              <w:ind w:left="-96" w:right="-122"/>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факт</w:t>
            </w:r>
          </w:p>
        </w:tc>
        <w:tc>
          <w:tcPr>
            <w:tcW w:w="993" w:type="dxa"/>
            <w:shd w:val="clear" w:color="auto" w:fill="auto"/>
            <w:vAlign w:val="center"/>
          </w:tcPr>
          <w:p w:rsidR="00093859" w:rsidRPr="00635CFC" w:rsidRDefault="00093859" w:rsidP="00093859">
            <w:pPr>
              <w:widowControl w:val="0"/>
              <w:spacing w:after="0" w:line="240" w:lineRule="auto"/>
              <w:ind w:left="-113" w:right="-138"/>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2022 год</w:t>
            </w:r>
          </w:p>
          <w:p w:rsidR="00093859" w:rsidRPr="00635CFC" w:rsidRDefault="00093859" w:rsidP="00093859">
            <w:pPr>
              <w:widowControl w:val="0"/>
              <w:spacing w:after="0" w:line="240" w:lineRule="auto"/>
              <w:ind w:left="-113" w:right="-138"/>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факт</w:t>
            </w:r>
          </w:p>
        </w:tc>
        <w:tc>
          <w:tcPr>
            <w:tcW w:w="1275" w:type="dxa"/>
            <w:vAlign w:val="center"/>
          </w:tcPr>
          <w:p w:rsidR="00093859" w:rsidRPr="00635CFC" w:rsidRDefault="00093859" w:rsidP="00093859">
            <w:pPr>
              <w:widowControl w:val="0"/>
              <w:spacing w:after="0" w:line="240" w:lineRule="auto"/>
              <w:ind w:left="-100" w:right="-143"/>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2023 год</w:t>
            </w:r>
          </w:p>
          <w:p w:rsidR="00093859" w:rsidRPr="00635CFC" w:rsidRDefault="00093859" w:rsidP="00093859">
            <w:pPr>
              <w:widowControl w:val="0"/>
              <w:spacing w:after="0" w:line="240" w:lineRule="auto"/>
              <w:ind w:left="-100" w:right="-143"/>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факт</w:t>
            </w:r>
          </w:p>
        </w:tc>
        <w:tc>
          <w:tcPr>
            <w:tcW w:w="1134" w:type="dxa"/>
            <w:vAlign w:val="center"/>
          </w:tcPr>
          <w:p w:rsidR="00093859" w:rsidRPr="00635CFC" w:rsidRDefault="00093859" w:rsidP="00093859">
            <w:pPr>
              <w:widowControl w:val="0"/>
              <w:spacing w:after="0" w:line="240" w:lineRule="auto"/>
              <w:ind w:left="-107" w:right="-143"/>
              <w:jc w:val="center"/>
              <w:rPr>
                <w:rFonts w:ascii="Times New Roman" w:hAnsi="Times New Roman" w:cs="Times New Roman"/>
                <w:b/>
                <w:bCs/>
                <w:color w:val="000000"/>
                <w:sz w:val="20"/>
                <w:szCs w:val="20"/>
              </w:rPr>
            </w:pPr>
            <w:r w:rsidRPr="00635CFC">
              <w:rPr>
                <w:rFonts w:ascii="Times New Roman" w:hAnsi="Times New Roman" w:cs="Times New Roman"/>
                <w:b/>
                <w:bCs/>
                <w:color w:val="000000"/>
                <w:sz w:val="20"/>
                <w:szCs w:val="20"/>
              </w:rPr>
              <w:t>изменение 2023/2022, %</w:t>
            </w:r>
          </w:p>
        </w:tc>
      </w:tr>
      <w:tr w:rsidR="00093859" w:rsidRPr="00635CFC" w:rsidTr="009E4824">
        <w:trPr>
          <w:cantSplit/>
          <w:jc w:val="center"/>
        </w:trPr>
        <w:tc>
          <w:tcPr>
            <w:tcW w:w="2689" w:type="dxa"/>
            <w:shd w:val="clear" w:color="auto" w:fill="auto"/>
            <w:vAlign w:val="center"/>
          </w:tcPr>
          <w:p w:rsidR="00093859" w:rsidRPr="00635CFC" w:rsidRDefault="00093859" w:rsidP="009E4824">
            <w:pPr>
              <w:widowControl w:val="0"/>
              <w:spacing w:after="0" w:line="240" w:lineRule="auto"/>
              <w:jc w:val="both"/>
              <w:rPr>
                <w:rFonts w:ascii="Times New Roman" w:hAnsi="Times New Roman" w:cs="Times New Roman"/>
                <w:color w:val="000000"/>
                <w:sz w:val="20"/>
                <w:szCs w:val="20"/>
                <w:shd w:val="clear" w:color="auto" w:fill="FFFFFF"/>
              </w:rPr>
            </w:pPr>
            <w:r w:rsidRPr="00635CFC">
              <w:rPr>
                <w:rFonts w:ascii="Times New Roman" w:hAnsi="Times New Roman" w:cs="Times New Roman"/>
                <w:color w:val="000000"/>
                <w:sz w:val="20"/>
                <w:szCs w:val="20"/>
                <w:shd w:val="clear" w:color="auto" w:fill="FFFFFF"/>
              </w:rPr>
              <w:t>Объем внедрения инноваций</w:t>
            </w:r>
          </w:p>
        </w:tc>
        <w:tc>
          <w:tcPr>
            <w:tcW w:w="992" w:type="dxa"/>
            <w:shd w:val="clear" w:color="auto" w:fill="auto"/>
            <w:vAlign w:val="center"/>
          </w:tcPr>
          <w:p w:rsidR="00093859" w:rsidRPr="00635CFC" w:rsidRDefault="00093859" w:rsidP="00093859">
            <w:pPr>
              <w:spacing w:after="0" w:line="240" w:lineRule="auto"/>
              <w:ind w:left="426" w:right="-143" w:hanging="426"/>
              <w:jc w:val="both"/>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млн руб.</w:t>
            </w:r>
          </w:p>
        </w:tc>
        <w:tc>
          <w:tcPr>
            <w:tcW w:w="850" w:type="dxa"/>
            <w:shd w:val="clear" w:color="auto" w:fill="auto"/>
            <w:vAlign w:val="center"/>
          </w:tcPr>
          <w:p w:rsidR="00093859" w:rsidRPr="00635CFC" w:rsidRDefault="00093859" w:rsidP="00093859">
            <w:pPr>
              <w:spacing w:after="0" w:line="240" w:lineRule="auto"/>
              <w:jc w:val="right"/>
              <w:rPr>
                <w:rFonts w:ascii="Times New Roman" w:hAnsi="Times New Roman" w:cs="Times New Roman"/>
                <w:color w:val="000000"/>
                <w:sz w:val="20"/>
                <w:szCs w:val="20"/>
              </w:rPr>
            </w:pPr>
            <w:r w:rsidRPr="00635CFC">
              <w:rPr>
                <w:rFonts w:ascii="Times New Roman" w:hAnsi="Times New Roman" w:cs="Times New Roman"/>
                <w:color w:val="000000"/>
                <w:sz w:val="20"/>
                <w:szCs w:val="20"/>
              </w:rPr>
              <w:t>114,5</w:t>
            </w:r>
          </w:p>
        </w:tc>
        <w:tc>
          <w:tcPr>
            <w:tcW w:w="993" w:type="dxa"/>
            <w:shd w:val="clear" w:color="auto" w:fill="auto"/>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c>
          <w:tcPr>
            <w:tcW w:w="1275" w:type="dxa"/>
            <w:vAlign w:val="center"/>
          </w:tcPr>
          <w:p w:rsidR="00093859" w:rsidRPr="00635CFC" w:rsidRDefault="00093859" w:rsidP="00093859">
            <w:pPr>
              <w:widowControl w:val="0"/>
              <w:spacing w:after="0" w:line="240" w:lineRule="auto"/>
              <w:ind w:right="-143"/>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c>
          <w:tcPr>
            <w:tcW w:w="1134" w:type="dxa"/>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r>
      <w:tr w:rsidR="00093859" w:rsidRPr="00635CFC" w:rsidTr="009E4824">
        <w:trPr>
          <w:cantSplit/>
          <w:trHeight w:val="301"/>
          <w:jc w:val="center"/>
        </w:trPr>
        <w:tc>
          <w:tcPr>
            <w:tcW w:w="2689" w:type="dxa"/>
            <w:shd w:val="clear" w:color="auto" w:fill="auto"/>
            <w:vAlign w:val="center"/>
          </w:tcPr>
          <w:p w:rsidR="00093859" w:rsidRPr="00635CFC" w:rsidRDefault="00093859" w:rsidP="009E4824">
            <w:pPr>
              <w:widowControl w:val="0"/>
              <w:spacing w:after="0" w:line="240" w:lineRule="auto"/>
              <w:jc w:val="both"/>
              <w:rPr>
                <w:rFonts w:ascii="Times New Roman" w:hAnsi="Times New Roman" w:cs="Times New Roman"/>
                <w:color w:val="000000"/>
                <w:sz w:val="20"/>
                <w:szCs w:val="20"/>
                <w:shd w:val="clear" w:color="auto" w:fill="FFFFFF"/>
              </w:rPr>
            </w:pPr>
            <w:r w:rsidRPr="00635CFC">
              <w:rPr>
                <w:rFonts w:ascii="Times New Roman" w:hAnsi="Times New Roman" w:cs="Times New Roman"/>
                <w:color w:val="000000"/>
                <w:sz w:val="20"/>
                <w:szCs w:val="20"/>
                <w:shd w:val="clear" w:color="auto" w:fill="FFFFFF"/>
              </w:rPr>
              <w:t>Объем выполнения НИОКР</w:t>
            </w:r>
          </w:p>
        </w:tc>
        <w:tc>
          <w:tcPr>
            <w:tcW w:w="992" w:type="dxa"/>
            <w:shd w:val="clear" w:color="auto" w:fill="auto"/>
            <w:vAlign w:val="center"/>
          </w:tcPr>
          <w:p w:rsidR="00093859" w:rsidRPr="00635CFC" w:rsidRDefault="00093859" w:rsidP="00093859">
            <w:pPr>
              <w:spacing w:after="0" w:line="240" w:lineRule="auto"/>
              <w:ind w:left="426" w:right="-143" w:hanging="426"/>
              <w:jc w:val="both"/>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млн руб.</w:t>
            </w:r>
          </w:p>
        </w:tc>
        <w:tc>
          <w:tcPr>
            <w:tcW w:w="850" w:type="dxa"/>
            <w:shd w:val="clear" w:color="auto" w:fill="auto"/>
            <w:vAlign w:val="center"/>
          </w:tcPr>
          <w:p w:rsidR="00093859" w:rsidRPr="00635CFC" w:rsidRDefault="00093859" w:rsidP="00093859">
            <w:pPr>
              <w:spacing w:after="0" w:line="240" w:lineRule="auto"/>
              <w:jc w:val="center"/>
              <w:rPr>
                <w:rFonts w:ascii="Times New Roman" w:hAnsi="Times New Roman" w:cs="Times New Roman"/>
                <w:color w:val="000000"/>
                <w:sz w:val="20"/>
                <w:szCs w:val="20"/>
              </w:rPr>
            </w:pPr>
            <w:r w:rsidRPr="00635CFC">
              <w:rPr>
                <w:rFonts w:ascii="Times New Roman" w:hAnsi="Times New Roman" w:cs="Times New Roman"/>
                <w:color w:val="000000"/>
                <w:sz w:val="20"/>
                <w:szCs w:val="20"/>
              </w:rPr>
              <w:t>0</w:t>
            </w:r>
          </w:p>
        </w:tc>
        <w:tc>
          <w:tcPr>
            <w:tcW w:w="993" w:type="dxa"/>
            <w:shd w:val="clear" w:color="auto" w:fill="auto"/>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c>
          <w:tcPr>
            <w:tcW w:w="1275" w:type="dxa"/>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c>
          <w:tcPr>
            <w:tcW w:w="1134" w:type="dxa"/>
            <w:vAlign w:val="center"/>
          </w:tcPr>
          <w:p w:rsidR="00093859" w:rsidRPr="00635CFC" w:rsidRDefault="00093859" w:rsidP="00093859">
            <w:pPr>
              <w:widowControl w:val="0"/>
              <w:spacing w:after="0" w:line="240" w:lineRule="auto"/>
              <w:ind w:left="426" w:right="-143" w:hanging="426"/>
              <w:jc w:val="center"/>
              <w:rPr>
                <w:rFonts w:ascii="Times New Roman" w:hAnsi="Times New Roman" w:cs="Times New Roman"/>
                <w:bCs/>
                <w:color w:val="000000"/>
                <w:sz w:val="20"/>
                <w:szCs w:val="20"/>
              </w:rPr>
            </w:pPr>
            <w:r w:rsidRPr="00635CFC">
              <w:rPr>
                <w:rFonts w:ascii="Times New Roman" w:hAnsi="Times New Roman" w:cs="Times New Roman"/>
                <w:bCs/>
                <w:color w:val="000000"/>
                <w:sz w:val="20"/>
                <w:szCs w:val="20"/>
              </w:rPr>
              <w:t>0</w:t>
            </w:r>
          </w:p>
        </w:tc>
      </w:tr>
    </w:tbl>
    <w:p w:rsidR="00116471" w:rsidRPr="00B369F9" w:rsidRDefault="00116471" w:rsidP="00116471">
      <w:pPr>
        <w:tabs>
          <w:tab w:val="left" w:pos="993"/>
        </w:tabs>
        <w:spacing w:after="0" w:line="240" w:lineRule="auto"/>
        <w:ind w:firstLine="709"/>
        <w:jc w:val="both"/>
        <w:rPr>
          <w:rFonts w:ascii="Times New Roman" w:hAnsi="Times New Roman" w:cs="Times New Roman"/>
          <w:sz w:val="24"/>
          <w:szCs w:val="24"/>
          <w:highlight w:val="yellow"/>
        </w:rPr>
      </w:pPr>
    </w:p>
    <w:p w:rsidR="00316631" w:rsidRPr="00B369F9" w:rsidRDefault="00316631" w:rsidP="00316631">
      <w:pPr>
        <w:pStyle w:val="1"/>
        <w:ind w:firstLine="709"/>
        <w:rPr>
          <w:b w:val="0"/>
        </w:rPr>
      </w:pPr>
      <w:bookmarkStart w:id="28" w:name="_Toc163738870"/>
      <w:bookmarkStart w:id="29" w:name="_Toc473537021"/>
      <w:r w:rsidRPr="00B369F9">
        <w:t>Управление персоналом</w:t>
      </w:r>
      <w:bookmarkEnd w:id="28"/>
    </w:p>
    <w:p w:rsidR="00316631" w:rsidRPr="00B369F9" w:rsidRDefault="00316631" w:rsidP="00316631">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r w:rsidRPr="00B369F9">
        <w:rPr>
          <w:rFonts w:ascii="Times New Roman" w:eastAsia="Times New Roman" w:hAnsi="Times New Roman" w:cs="Times New Roman"/>
          <w:sz w:val="24"/>
          <w:szCs w:val="24"/>
        </w:rPr>
        <w:t>Ключевыми целями кадровой и социальной политики Общества, призванными обеспечить достижение целевых ориентиров Стратегии развития электросетевого комплекса России, являются:</w:t>
      </w: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r w:rsidRPr="00B369F9">
        <w:rPr>
          <w:rFonts w:ascii="Times New Roman" w:eastAsia="Times New Roman" w:hAnsi="Times New Roman" w:cs="Times New Roman"/>
          <w:sz w:val="24"/>
          <w:szCs w:val="24"/>
        </w:rPr>
        <w:t xml:space="preserve">- планирование потребности в персонале </w:t>
      </w:r>
      <w:r w:rsidR="000A2CED">
        <w:rPr>
          <w:rFonts w:ascii="Times New Roman" w:eastAsia="Times New Roman" w:hAnsi="Times New Roman" w:cs="Times New Roman"/>
          <w:sz w:val="24"/>
          <w:szCs w:val="24"/>
        </w:rPr>
        <w:t>–</w:t>
      </w:r>
      <w:r w:rsidRPr="00B369F9">
        <w:rPr>
          <w:rFonts w:ascii="Times New Roman" w:eastAsia="Times New Roman" w:hAnsi="Times New Roman" w:cs="Times New Roman"/>
          <w:sz w:val="24"/>
          <w:szCs w:val="24"/>
        </w:rPr>
        <w:t xml:space="preserve"> обеспечение наличия достоверной информации об оперативной и прогнозной численной и качественной потребности в трудовых ресурсах, необходимой и достаточной для выполнения поставленных перед Обществом задач;</w:t>
      </w: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r w:rsidRPr="00B369F9">
        <w:rPr>
          <w:rFonts w:ascii="Times New Roman" w:eastAsia="Times New Roman" w:hAnsi="Times New Roman" w:cs="Times New Roman"/>
          <w:sz w:val="24"/>
          <w:szCs w:val="24"/>
        </w:rPr>
        <w:t>- своевременное обеспечение потребностей Общества в персонале требуемой квалификации;</w:t>
      </w: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r w:rsidRPr="00B369F9">
        <w:rPr>
          <w:rFonts w:ascii="Times New Roman" w:eastAsia="Times New Roman" w:hAnsi="Times New Roman" w:cs="Times New Roman"/>
          <w:sz w:val="24"/>
          <w:szCs w:val="24"/>
        </w:rPr>
        <w:lastRenderedPageBreak/>
        <w:t>- обеспечение эффективности деятельности персонала, рост производительности труда в Обществе.</w:t>
      </w:r>
    </w:p>
    <w:p w:rsidR="00195D14" w:rsidRPr="00B369F9" w:rsidRDefault="00195D14" w:rsidP="00195D14">
      <w:pPr>
        <w:tabs>
          <w:tab w:val="left" w:pos="993"/>
        </w:tabs>
        <w:spacing w:after="0" w:line="240" w:lineRule="auto"/>
        <w:ind w:firstLine="709"/>
        <w:jc w:val="both"/>
        <w:rPr>
          <w:rFonts w:ascii="Times New Roman" w:hAnsi="Times New Roman"/>
          <w:sz w:val="24"/>
          <w:szCs w:val="24"/>
        </w:rPr>
      </w:pPr>
      <w:r w:rsidRPr="00B369F9">
        <w:rPr>
          <w:rFonts w:ascii="Times New Roman" w:hAnsi="Times New Roman"/>
          <w:sz w:val="24"/>
          <w:szCs w:val="24"/>
        </w:rPr>
        <w:t>Среднесписочная численность Общества за 2023 год составила 2 390,4 чел.</w:t>
      </w: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spacing w:after="0" w:line="240" w:lineRule="auto"/>
        <w:jc w:val="center"/>
        <w:rPr>
          <w:rFonts w:ascii="Calibri" w:eastAsia="Calibri" w:hAnsi="Calibri" w:cs="Calibri"/>
          <w:sz w:val="24"/>
          <w:szCs w:val="24"/>
          <w:lang w:eastAsia="ar-SA"/>
        </w:rPr>
      </w:pPr>
      <w:r w:rsidRPr="00B369F9">
        <w:rPr>
          <w:rFonts w:ascii="Times New Roman" w:eastAsia="Calibri" w:hAnsi="Times New Roman" w:cs="Times New Roman"/>
          <w:b/>
          <w:sz w:val="24"/>
          <w:szCs w:val="24"/>
        </w:rPr>
        <w:t>Среднесписочная численность персонала Общества за 2021-2023 гг., чел.</w:t>
      </w:r>
    </w:p>
    <w:p w:rsidR="00195D14" w:rsidRPr="00B369F9" w:rsidRDefault="00195D14" w:rsidP="00195D14">
      <w:pPr>
        <w:spacing w:after="0" w:line="240" w:lineRule="auto"/>
        <w:jc w:val="center"/>
        <w:rPr>
          <w:rFonts w:ascii="Times New Roman" w:eastAsia="Times New Roman" w:hAnsi="Times New Roman" w:cs="Times New Roman"/>
          <w:sz w:val="24"/>
          <w:szCs w:val="24"/>
        </w:rPr>
      </w:pPr>
      <w:r w:rsidRPr="00B369F9">
        <w:rPr>
          <w:noProof/>
          <w:color w:val="FF0000"/>
          <w:sz w:val="24"/>
          <w:szCs w:val="24"/>
          <w:lang w:eastAsia="ru-RU"/>
        </w:rPr>
        <w:drawing>
          <wp:inline distT="0" distB="0" distL="0" distR="0" wp14:anchorId="392BC4D9" wp14:editId="1AF9250B">
            <wp:extent cx="5238750" cy="946205"/>
            <wp:effectExtent l="0" t="0" r="0" b="635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Уровень обеспеченности персоналом в Обществе на конец 2023 года составил 97</w:t>
      </w:r>
      <w:r w:rsidR="009B20D5" w:rsidRPr="00B369F9">
        <w:rPr>
          <w:rFonts w:ascii="Times New Roman" w:hAnsi="Times New Roman" w:cs="Times New Roman"/>
          <w:sz w:val="24"/>
          <w:szCs w:val="24"/>
        </w:rPr>
        <w:t xml:space="preserve"> </w:t>
      </w:r>
      <w:r w:rsidRPr="00B369F9">
        <w:rPr>
          <w:rFonts w:ascii="Times New Roman" w:hAnsi="Times New Roman" w:cs="Times New Roman"/>
          <w:sz w:val="24"/>
          <w:szCs w:val="24"/>
        </w:rPr>
        <w:t>%. Уровень обеспеченности производственным персоналом Общества составил 97 %. В целом по Обществу укомплектованность персоналом на протяжении тр</w:t>
      </w:r>
      <w:r w:rsidR="000959D2" w:rsidRPr="00B369F9">
        <w:rPr>
          <w:rFonts w:ascii="Times New Roman" w:hAnsi="Times New Roman" w:cs="Times New Roman"/>
          <w:sz w:val="24"/>
          <w:szCs w:val="24"/>
        </w:rPr>
        <w:t>е</w:t>
      </w:r>
      <w:r w:rsidRPr="00B369F9">
        <w:rPr>
          <w:rFonts w:ascii="Times New Roman" w:hAnsi="Times New Roman" w:cs="Times New Roman"/>
          <w:sz w:val="24"/>
          <w:szCs w:val="24"/>
        </w:rPr>
        <w:t>х лет поддерживается на достаточно высоком уровне.</w:t>
      </w: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Уровень активной текучести в Обществе по итогам 2023 года составил 10,3 %.</w:t>
      </w:r>
    </w:p>
    <w:p w:rsidR="00195D14"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Средний возраст работников Общества в 2023</w:t>
      </w:r>
      <w:r w:rsidR="00E9392A" w:rsidRPr="00B369F9">
        <w:rPr>
          <w:rFonts w:ascii="Times New Roman" w:hAnsi="Times New Roman" w:cs="Times New Roman"/>
          <w:sz w:val="24"/>
          <w:szCs w:val="24"/>
        </w:rPr>
        <w:t xml:space="preserve"> </w:t>
      </w:r>
      <w:r w:rsidRPr="00B369F9">
        <w:rPr>
          <w:rFonts w:ascii="Times New Roman" w:hAnsi="Times New Roman" w:cs="Times New Roman"/>
          <w:sz w:val="24"/>
          <w:szCs w:val="24"/>
        </w:rPr>
        <w:t>году составил 46 лет, что выше аналогичного показателя 2022 года.</w:t>
      </w:r>
    </w:p>
    <w:p w:rsidR="009806F9" w:rsidRPr="00B369F9" w:rsidRDefault="009806F9" w:rsidP="00195D14">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tabs>
          <w:tab w:val="left" w:pos="993"/>
        </w:tabs>
        <w:spacing w:after="0" w:line="240" w:lineRule="auto"/>
        <w:ind w:firstLine="709"/>
        <w:jc w:val="center"/>
        <w:rPr>
          <w:noProof/>
          <w:sz w:val="24"/>
          <w:szCs w:val="24"/>
          <w:lang w:eastAsia="ru-RU"/>
        </w:rPr>
      </w:pPr>
      <w:r w:rsidRPr="00B369F9">
        <w:rPr>
          <w:rFonts w:ascii="Times New Roman" w:hAnsi="Times New Roman" w:cs="Times New Roman"/>
          <w:b/>
          <w:sz w:val="24"/>
          <w:szCs w:val="24"/>
        </w:rPr>
        <w:t>Структура персонала по возрасту за 2021-2023 гг.</w:t>
      </w:r>
      <w:r w:rsidRPr="00B369F9">
        <w:rPr>
          <w:rFonts w:ascii="Times New Roman" w:hAnsi="Times New Roman" w:cs="Times New Roman"/>
          <w:sz w:val="24"/>
          <w:szCs w:val="24"/>
        </w:rPr>
        <w:t xml:space="preserve"> </w:t>
      </w:r>
    </w:p>
    <w:p w:rsidR="00195D14" w:rsidRPr="00B369F9" w:rsidRDefault="00195D14" w:rsidP="00195D14">
      <w:pPr>
        <w:tabs>
          <w:tab w:val="left" w:pos="993"/>
        </w:tabs>
        <w:spacing w:after="0" w:line="240" w:lineRule="auto"/>
        <w:ind w:firstLine="709"/>
        <w:jc w:val="center"/>
        <w:rPr>
          <w:rFonts w:ascii="Times New Roman" w:hAnsi="Times New Roman" w:cs="Times New Roman"/>
          <w:b/>
          <w:sz w:val="24"/>
          <w:szCs w:val="24"/>
        </w:rPr>
      </w:pPr>
      <w:r w:rsidRPr="00B369F9">
        <w:rPr>
          <w:noProof/>
          <w:sz w:val="24"/>
          <w:szCs w:val="24"/>
          <w:lang w:eastAsia="ru-RU"/>
        </w:rPr>
        <w:drawing>
          <wp:inline distT="0" distB="0" distL="0" distR="0" wp14:anchorId="24593129" wp14:editId="57A84DCE">
            <wp:extent cx="5076825" cy="1024128"/>
            <wp:effectExtent l="0" t="0" r="0" b="508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По гендерному составу Общество соответствует типичному для электросетевых компаний соотношению персонала – доля мужчин 78</w:t>
      </w:r>
      <w:r w:rsidR="00E9392A" w:rsidRPr="00B369F9">
        <w:rPr>
          <w:rFonts w:ascii="Times New Roman" w:hAnsi="Times New Roman" w:cs="Times New Roman"/>
          <w:sz w:val="24"/>
          <w:szCs w:val="24"/>
        </w:rPr>
        <w:t xml:space="preserve"> </w:t>
      </w:r>
      <w:r w:rsidRPr="00B369F9">
        <w:rPr>
          <w:rFonts w:ascii="Times New Roman" w:hAnsi="Times New Roman" w:cs="Times New Roman"/>
          <w:sz w:val="24"/>
          <w:szCs w:val="24"/>
        </w:rPr>
        <w:t>%, доля женщин</w:t>
      </w:r>
      <w:r w:rsidR="00607D40">
        <w:rPr>
          <w:rFonts w:ascii="Times New Roman" w:hAnsi="Times New Roman" w:cs="Times New Roman"/>
          <w:sz w:val="24"/>
          <w:szCs w:val="24"/>
        </w:rPr>
        <w:t xml:space="preserve"> </w:t>
      </w:r>
      <w:r w:rsidR="00607D40" w:rsidRPr="00B369F9">
        <w:rPr>
          <w:rFonts w:ascii="Times New Roman" w:hAnsi="Times New Roman" w:cs="Times New Roman"/>
          <w:sz w:val="24"/>
          <w:szCs w:val="24"/>
        </w:rPr>
        <w:t>–</w:t>
      </w:r>
      <w:r w:rsidR="00607D40">
        <w:rPr>
          <w:rFonts w:ascii="Times New Roman" w:hAnsi="Times New Roman" w:cs="Times New Roman"/>
          <w:sz w:val="24"/>
          <w:szCs w:val="24"/>
        </w:rPr>
        <w:t xml:space="preserve"> </w:t>
      </w:r>
      <w:r w:rsidRPr="00B369F9">
        <w:rPr>
          <w:rFonts w:ascii="Times New Roman" w:hAnsi="Times New Roman" w:cs="Times New Roman"/>
          <w:sz w:val="24"/>
          <w:szCs w:val="24"/>
        </w:rPr>
        <w:t>22</w:t>
      </w:r>
      <w:r w:rsidR="00E9392A" w:rsidRPr="00B369F9">
        <w:rPr>
          <w:rFonts w:ascii="Times New Roman" w:hAnsi="Times New Roman" w:cs="Times New Roman"/>
          <w:sz w:val="24"/>
          <w:szCs w:val="24"/>
        </w:rPr>
        <w:t xml:space="preserve"> </w:t>
      </w:r>
      <w:r w:rsidRPr="00B369F9">
        <w:rPr>
          <w:rFonts w:ascii="Times New Roman" w:hAnsi="Times New Roman" w:cs="Times New Roman"/>
          <w:sz w:val="24"/>
          <w:szCs w:val="24"/>
        </w:rPr>
        <w:t>%. Анализ по категориям представлен на диаграмме:</w:t>
      </w:r>
    </w:p>
    <w:p w:rsidR="00195D14" w:rsidRPr="00B369F9" w:rsidRDefault="00195D14" w:rsidP="00E9392A">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Доля мужчин и женщин по категориям сотрудников в 2023 году, %</w:t>
      </w:r>
    </w:p>
    <w:p w:rsidR="00195D14" w:rsidRPr="00B369F9" w:rsidRDefault="00195D14" w:rsidP="00195D14">
      <w:pPr>
        <w:tabs>
          <w:tab w:val="left" w:pos="993"/>
        </w:tabs>
        <w:spacing w:after="0" w:line="240" w:lineRule="auto"/>
        <w:ind w:firstLine="709"/>
        <w:jc w:val="center"/>
        <w:rPr>
          <w:rFonts w:ascii="Times New Roman" w:hAnsi="Times New Roman" w:cs="Times New Roman"/>
          <w:sz w:val="24"/>
          <w:szCs w:val="24"/>
        </w:rPr>
      </w:pPr>
      <w:r w:rsidRPr="00B369F9">
        <w:rPr>
          <w:noProof/>
          <w:sz w:val="24"/>
          <w:szCs w:val="24"/>
          <w:lang w:eastAsia="ru-RU"/>
        </w:rPr>
        <w:drawing>
          <wp:inline distT="0" distB="0" distL="0" distR="0" wp14:anchorId="31CD2171" wp14:editId="06DA9030">
            <wp:extent cx="5368925" cy="957532"/>
            <wp:effectExtent l="0" t="0" r="3175"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9392A" w:rsidRPr="00B369F9" w:rsidRDefault="00E9392A" w:rsidP="00195D14">
      <w:pPr>
        <w:tabs>
          <w:tab w:val="left" w:pos="993"/>
        </w:tabs>
        <w:spacing w:after="0" w:line="240" w:lineRule="auto"/>
        <w:ind w:firstLine="709"/>
        <w:jc w:val="both"/>
        <w:rPr>
          <w:rFonts w:ascii="Times New Roman" w:hAnsi="Times New Roman" w:cs="Times New Roman"/>
          <w:b/>
          <w:bCs/>
          <w:sz w:val="24"/>
          <w:szCs w:val="24"/>
        </w:rPr>
      </w:pPr>
    </w:p>
    <w:p w:rsidR="00195D14" w:rsidRPr="00B369F9" w:rsidRDefault="00195D14" w:rsidP="00195D14">
      <w:pPr>
        <w:tabs>
          <w:tab w:val="left" w:pos="993"/>
        </w:tabs>
        <w:spacing w:after="0" w:line="240" w:lineRule="auto"/>
        <w:ind w:firstLine="709"/>
        <w:jc w:val="both"/>
        <w:rPr>
          <w:rFonts w:ascii="Times New Roman" w:hAnsi="Times New Roman" w:cs="Times New Roman"/>
          <w:b/>
          <w:bCs/>
          <w:sz w:val="24"/>
          <w:szCs w:val="24"/>
        </w:rPr>
      </w:pPr>
      <w:r w:rsidRPr="00B369F9">
        <w:rPr>
          <w:rFonts w:ascii="Times New Roman" w:hAnsi="Times New Roman" w:cs="Times New Roman"/>
          <w:b/>
          <w:bCs/>
          <w:sz w:val="24"/>
          <w:szCs w:val="24"/>
        </w:rPr>
        <w:t>Структура персонала по уровню образования в динамике за 2021-2023 гг.</w:t>
      </w:r>
    </w:p>
    <w:p w:rsidR="00195D14" w:rsidRPr="00B369F9" w:rsidRDefault="00195D14" w:rsidP="00195D14">
      <w:pPr>
        <w:tabs>
          <w:tab w:val="left" w:pos="993"/>
        </w:tabs>
        <w:spacing w:after="0" w:line="240" w:lineRule="auto"/>
        <w:ind w:firstLine="709"/>
        <w:jc w:val="center"/>
        <w:rPr>
          <w:rFonts w:ascii="Times New Roman" w:hAnsi="Times New Roman" w:cs="Times New Roman"/>
          <w:sz w:val="24"/>
          <w:szCs w:val="24"/>
        </w:rPr>
      </w:pP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noProof/>
          <w:sz w:val="24"/>
          <w:szCs w:val="24"/>
          <w:lang w:eastAsia="ru-RU"/>
        </w:rPr>
        <w:drawing>
          <wp:inline distT="0" distB="0" distL="0" distR="0" wp14:anchorId="06FABD18" wp14:editId="2CD2DEA3">
            <wp:extent cx="5940425" cy="877824"/>
            <wp:effectExtent l="0" t="0" r="3175"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E9392A" w:rsidRPr="00B369F9" w:rsidRDefault="00E9392A" w:rsidP="00195D14">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Персонал </w:t>
      </w:r>
      <w:r w:rsidR="002133E4" w:rsidRPr="00B369F9">
        <w:rPr>
          <w:rFonts w:ascii="Times New Roman" w:hAnsi="Times New Roman" w:cs="Times New Roman"/>
          <w:sz w:val="24"/>
          <w:szCs w:val="24"/>
        </w:rPr>
        <w:t>Общества</w:t>
      </w:r>
      <w:r w:rsidRPr="00B369F9">
        <w:rPr>
          <w:rFonts w:ascii="Times New Roman" w:hAnsi="Times New Roman" w:cs="Times New Roman"/>
          <w:sz w:val="24"/>
          <w:szCs w:val="24"/>
        </w:rPr>
        <w:t xml:space="preserve"> характеризуется низким уровнем квалификации работников – 43,93</w:t>
      </w:r>
      <w:r w:rsidR="002133E4" w:rsidRPr="00B369F9">
        <w:rPr>
          <w:rFonts w:ascii="Times New Roman" w:hAnsi="Times New Roman" w:cs="Times New Roman"/>
          <w:sz w:val="24"/>
          <w:szCs w:val="24"/>
        </w:rPr>
        <w:t xml:space="preserve"> </w:t>
      </w:r>
      <w:r w:rsidRPr="00B369F9">
        <w:rPr>
          <w:rFonts w:ascii="Times New Roman" w:hAnsi="Times New Roman" w:cs="Times New Roman"/>
          <w:sz w:val="24"/>
          <w:szCs w:val="24"/>
        </w:rPr>
        <w:t>% работников не имеют профессионального образования.</w:t>
      </w:r>
    </w:p>
    <w:p w:rsidR="00195D14" w:rsidRPr="00B369F9" w:rsidRDefault="00195D14" w:rsidP="00195D14">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При анализе структуры персонала Общества по уровню образования необходимо отметить снижение на протяжении 3 лет доли работников, не имеющих профессионального образования, что явилось результатом системы целенаправленных действий по привлечению на работу кандидатов, обладающих качествами, необходимыми для достижения целей, поставленных Обществом.</w:t>
      </w:r>
    </w:p>
    <w:p w:rsidR="00BC2721" w:rsidRDefault="00BC2721" w:rsidP="00195D14">
      <w:pPr>
        <w:spacing w:after="0" w:line="240" w:lineRule="auto"/>
        <w:ind w:firstLine="709"/>
        <w:jc w:val="both"/>
        <w:rPr>
          <w:rFonts w:ascii="Times New Roman" w:eastAsia="Calibri" w:hAnsi="Times New Roman" w:cs="Times New Roman"/>
          <w:b/>
          <w:sz w:val="24"/>
          <w:szCs w:val="24"/>
        </w:rPr>
      </w:pP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b/>
          <w:sz w:val="24"/>
          <w:szCs w:val="24"/>
        </w:rPr>
        <w:t>Управление квалификацией персонала, кадровый резерв</w:t>
      </w:r>
    </w:p>
    <w:p w:rsidR="00195D14" w:rsidRPr="00B369F9" w:rsidRDefault="00195D14" w:rsidP="00195D14">
      <w:pPr>
        <w:spacing w:after="0" w:line="240" w:lineRule="auto"/>
        <w:jc w:val="both"/>
        <w:rPr>
          <w:rFonts w:ascii="Times New Roman" w:eastAsia="Calibri" w:hAnsi="Times New Roman" w:cs="Times New Roman"/>
          <w:sz w:val="24"/>
          <w:szCs w:val="24"/>
        </w:rPr>
      </w:pP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Обучение относится к числу приоритетных направлений </w:t>
      </w:r>
      <w:r w:rsidR="009806F9">
        <w:rPr>
          <w:rFonts w:ascii="Times New Roman" w:eastAsia="Calibri" w:hAnsi="Times New Roman" w:cs="Times New Roman"/>
          <w:sz w:val="24"/>
          <w:szCs w:val="24"/>
        </w:rPr>
        <w:t>к</w:t>
      </w:r>
      <w:r w:rsidRPr="00B369F9">
        <w:rPr>
          <w:rFonts w:ascii="Times New Roman" w:eastAsia="Calibri" w:hAnsi="Times New Roman" w:cs="Times New Roman"/>
          <w:sz w:val="24"/>
          <w:szCs w:val="24"/>
        </w:rPr>
        <w:t>адровой и социальной политики Общества. Внедрение современных технологий и инновационное развитие Общества повышают требования к уровню квалификации персонала. Система обучения направлена на развитие опережающего обучения персонала, требуемого для работы на вновь вводимых объектах, освоение новой техники, а также на интеграцию научной деятельности в образовательный процесс.</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отчетном году в обучающих мероприятиях с отрывом от работы приняли участие 1</w:t>
      </w:r>
      <w:r w:rsidR="00EF5DBA"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781</w:t>
      </w:r>
      <w:r w:rsidR="00EF5DBA"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 xml:space="preserve">работник, что составляет </w:t>
      </w:r>
      <w:r w:rsidR="007F5019">
        <w:rPr>
          <w:rFonts w:ascii="Times New Roman" w:eastAsia="Calibri" w:hAnsi="Times New Roman" w:cs="Times New Roman"/>
          <w:sz w:val="24"/>
          <w:szCs w:val="24"/>
        </w:rPr>
        <w:t>74</w:t>
      </w:r>
      <w:r w:rsidRPr="00B369F9">
        <w:rPr>
          <w:rFonts w:ascii="Times New Roman" w:eastAsia="Calibri" w:hAnsi="Times New Roman" w:cs="Times New Roman"/>
          <w:sz w:val="24"/>
          <w:szCs w:val="24"/>
        </w:rPr>
        <w:t>,</w:t>
      </w:r>
      <w:r w:rsidR="007F5019">
        <w:rPr>
          <w:rFonts w:ascii="Times New Roman" w:eastAsia="Calibri" w:hAnsi="Times New Roman" w:cs="Times New Roman"/>
          <w:sz w:val="24"/>
          <w:szCs w:val="24"/>
        </w:rPr>
        <w:t>5</w:t>
      </w:r>
      <w:r w:rsidRPr="00B369F9">
        <w:rPr>
          <w:rFonts w:ascii="Times New Roman" w:eastAsia="Calibri" w:hAnsi="Times New Roman" w:cs="Times New Roman"/>
          <w:sz w:val="24"/>
          <w:szCs w:val="24"/>
        </w:rPr>
        <w:t xml:space="preserve"> % от среднесписочной численности Общества, в том числе: производственный персонал 1</w:t>
      </w:r>
      <w:r w:rsidR="00EF5DBA"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682</w:t>
      </w:r>
      <w:r w:rsidR="00EF5DBA"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чел. (94,4 %), административно-управленческий персонал 99 чел. (5,6 %).</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2023 году в рамках реализации планов по приведению квалификационного уровня работников Общества в соответствие требованиям, установленным профессиональными стандартами, 8 работников Общества (или 0,5 % от общего числа обученных с отрывом от работы) прошли профессиональное обучение по профилю деятельности.</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Ключевыми центрами дополнительной подготовки работников Общества являются: ЧОУ ДПО «Корпоративный институт энергетики» (г. Ессентуки), Грозненский государственный нефтяной технический университет им. академика М.Д. Миллионщикова и другие.</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Формирование и развитие кадрового резерва Общества нацелено на обеспечение кадровых потребностей компании в работниках, подготовленных к выполнению обязанностей целевой должности. Деятельность по работе с кадровым резервом осуществляется в соответствии с Регламентом по работе с кадровыми резервами (утвержден приказом ПАО «Россети Северный Кавказ» от 17.12.2019 № 565, далее – Регламент).</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соответствии с требованиями Регламента в Обществе сформированы:</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1) управленческий кадровый резерв на должности:</w:t>
      </w:r>
    </w:p>
    <w:p w:rsidR="00195D14" w:rsidRPr="00B369F9" w:rsidRDefault="00046A67"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 </w:t>
      </w:r>
      <w:r w:rsidR="00195D14" w:rsidRPr="00B369F9">
        <w:rPr>
          <w:rFonts w:ascii="Times New Roman" w:eastAsia="Calibri" w:hAnsi="Times New Roman" w:cs="Times New Roman"/>
          <w:sz w:val="24"/>
          <w:szCs w:val="24"/>
        </w:rPr>
        <w:t>заместитель Управляющего директора Общества по направлению деятельности;</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046A6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руководитель структурного подразделения;</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046A6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начальник районных/городских электрических сетей.</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2) кадровый резерв на ключевые должности:</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046A6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главный инженер районных/городских электрических сетей;</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046A6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мастер районных/городских электрических сетей;</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046A6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диспетчер оперативно-диспетчерской службы.</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3) молод</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жный кадровый резерв.</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кадровых резервах Общества состоят высококвалифицированные работники с опытом работы не менее тр</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х лет по направлению, профильному целевой должности; имеющие высокие результаты в производственной деятельности; обладающие потенциалом, необходимым для дальнейшего профессионального развития и карьерного роста.</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Молод</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жный кадровый резерв формируется для вовлечения молодых специалистов в решение задач, актуальных для компании, создания дополнительных возможностей для профессионального и личностного развития молодых работников Общества, оказания содействия в повышении уровня их профессиональной и менеджерской подготовки. В состав молод</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жного кадрового резерва входят высокопотенциальные молодые специалисты, которых характеризуют высокий уровень обучаемости, активная жизненная позиция (при рассмотрении кандидатов в состав кадрового резерва предпочтение отда</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 xml:space="preserve">тся работникам, активно участвующим в жизни Общества, научно-исследовательской </w:t>
      </w:r>
      <w:r w:rsidRPr="00B369F9">
        <w:rPr>
          <w:rFonts w:ascii="Times New Roman" w:eastAsia="Calibri" w:hAnsi="Times New Roman" w:cs="Times New Roman"/>
          <w:sz w:val="24"/>
          <w:szCs w:val="24"/>
        </w:rPr>
        <w:lastRenderedPageBreak/>
        <w:t>деятельности, имеющим рационализаторские предложения), высокий уровень мотивации на построение долгосрочной карьеры в Обществе.</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Для всех членов кадрового резерва сформированы планы индивидуального развития, в соответствии с которыми осуществляется подготовка работников на целевые должности.</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Основной акцент в подготовке членов кадрового резерва делается на освоении ими практических навыков работы – резервисты привлекаются к разработке нормативных документов, осуществляется замещение целевой должности резервистом на период отсутствия руководителя (отпуска, командировки и т.д.).</w:t>
      </w:r>
    </w:p>
    <w:p w:rsidR="00195D14" w:rsidRPr="00B369F9" w:rsidRDefault="00195D14" w:rsidP="00195D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2023 году 30,6 % вакантных руководящих должностей Общества укомплектованы за сч</w:t>
      </w:r>
      <w:r w:rsidR="000959D2" w:rsidRPr="00B369F9">
        <w:rPr>
          <w:rFonts w:ascii="Times New Roman" w:eastAsia="Calibri" w:hAnsi="Times New Roman" w:cs="Times New Roman"/>
          <w:sz w:val="24"/>
          <w:szCs w:val="24"/>
        </w:rPr>
        <w:t>е</w:t>
      </w:r>
      <w:r w:rsidRPr="00B369F9">
        <w:rPr>
          <w:rFonts w:ascii="Times New Roman" w:eastAsia="Calibri" w:hAnsi="Times New Roman" w:cs="Times New Roman"/>
          <w:sz w:val="24"/>
          <w:szCs w:val="24"/>
        </w:rPr>
        <w:t>т внутренних кандидатов.</w:t>
      </w:r>
    </w:p>
    <w:p w:rsidR="00031B11" w:rsidRPr="00B369F9" w:rsidRDefault="00031B11" w:rsidP="00195D14">
      <w:pPr>
        <w:spacing w:after="0" w:line="240" w:lineRule="auto"/>
        <w:ind w:firstLine="709"/>
        <w:jc w:val="both"/>
        <w:rPr>
          <w:rFonts w:ascii="Times New Roman" w:eastAsia="Calibri" w:hAnsi="Times New Roman" w:cs="Times New Roman"/>
          <w:sz w:val="24"/>
          <w:szCs w:val="24"/>
        </w:rPr>
      </w:pP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b/>
          <w:sz w:val="24"/>
          <w:szCs w:val="24"/>
        </w:rPr>
      </w:pPr>
      <w:r w:rsidRPr="00B369F9">
        <w:rPr>
          <w:rFonts w:ascii="Times New Roman" w:eastAsia="Calibri" w:hAnsi="Times New Roman" w:cs="Times New Roman"/>
          <w:b/>
          <w:sz w:val="24"/>
          <w:szCs w:val="24"/>
        </w:rPr>
        <w:t xml:space="preserve">Работа с молодежью </w:t>
      </w: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Работа с молодежью в регионе ведется по трем ключевым направлениям – ранняя профессиональная ориентация школьников, практико-ориентированная подготовка кадров на базе профильных вузов и ссузов, адаптация и развитие молодых специалистов – работников Общества.</w:t>
      </w: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 2018 года в целях развития талантливых школьников, повышения их мотивации к обучению по программам энергетической направленности и последующего трудоустройства, Общество принимает участие в организации и проведении Всероссийской олимпиады школьников группы компаний «Россети». Так, в 2023 году на территории присутствия Общества было организовано проведение Всероссийской олимпиады школьников группы компаний «Россети» в дистанционном формате, в которой приняли участие 24 школьника 9, 10 и 11 классов.</w:t>
      </w: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 целях развития кадрового потенциала и партнерства в сфере образования Общество взаимодействует с образовательными учреждениями высшего и среднего профессионального образования, осуществляющих подготовку по востребованным в Обществе направлениям. Партнерами </w:t>
      </w:r>
      <w:r w:rsidR="005859A1" w:rsidRPr="00B369F9">
        <w:rPr>
          <w:rFonts w:ascii="Times New Roman" w:eastAsia="Calibri" w:hAnsi="Times New Roman" w:cs="Times New Roman"/>
          <w:sz w:val="24"/>
          <w:szCs w:val="24"/>
        </w:rPr>
        <w:t>Общества</w:t>
      </w:r>
      <w:r w:rsidRPr="00B369F9">
        <w:rPr>
          <w:rFonts w:ascii="Times New Roman" w:eastAsia="Calibri" w:hAnsi="Times New Roman" w:cs="Times New Roman"/>
          <w:sz w:val="24"/>
          <w:szCs w:val="24"/>
        </w:rPr>
        <w:t xml:space="preserve"> в области практикоориентированной подготовки кадров в регионе являются: Грозненский государственный нефтяной технический университет им. академика М.Д. Миллионщикова, Чеченский техникум энергетики.</w:t>
      </w: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Студенты профессиональных образовательных учреждений имеют возможность ежегодно проходить на базе Общества ознакомительную, производственную, преддипломную практику. В 2023 году 115 студентов высших и средних профессиональных образовательных учреждений прошли практику на базе Общества, 33 выпускника, успешно прошедших практику по полученной специальности, были приняты на работу в Общество.</w:t>
      </w:r>
    </w:p>
    <w:p w:rsidR="00195D14" w:rsidRPr="00B369F9" w:rsidRDefault="00195D14" w:rsidP="00195D14">
      <w:pPr>
        <w:tabs>
          <w:tab w:val="left" w:pos="993"/>
        </w:tab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целях ускорения процесса обучения молодых специалистов основным профессиональным навыкам, развития у персонала способности самостоятельно, качественно и своевременно выполнять возложенные задачи, в Обществе применяется система наставничества. Для молодых специалистов реализуются программы развития.</w:t>
      </w:r>
    </w:p>
    <w:p w:rsidR="004D05C9" w:rsidRPr="00B369F9" w:rsidRDefault="004D05C9" w:rsidP="00195D14">
      <w:pPr>
        <w:tabs>
          <w:tab w:val="left" w:pos="993"/>
        </w:tabs>
        <w:spacing w:after="0" w:line="240" w:lineRule="auto"/>
        <w:ind w:firstLine="709"/>
        <w:jc w:val="both"/>
        <w:rPr>
          <w:rFonts w:ascii="Times New Roman" w:hAnsi="Times New Roman" w:cs="Times New Roman"/>
          <w:sz w:val="24"/>
          <w:szCs w:val="24"/>
        </w:rPr>
      </w:pP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r w:rsidRPr="00B369F9">
        <w:rPr>
          <w:rFonts w:ascii="Times New Roman" w:eastAsia="Times New Roman" w:hAnsi="Times New Roman" w:cs="Times New Roman"/>
          <w:b/>
          <w:sz w:val="24"/>
          <w:szCs w:val="24"/>
        </w:rPr>
        <w:t>Социальная политика Компании</w:t>
      </w: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rPr>
      </w:pPr>
    </w:p>
    <w:p w:rsidR="00195D14" w:rsidRPr="00B369F9" w:rsidRDefault="00195D14" w:rsidP="00195D14">
      <w:pPr>
        <w:spacing w:after="0" w:line="240" w:lineRule="auto"/>
        <w:ind w:firstLine="708"/>
        <w:jc w:val="both"/>
        <w:rPr>
          <w:rFonts w:ascii="Calibri" w:eastAsia="Calibri" w:hAnsi="Calibri" w:cs="Times New Roman"/>
          <w:sz w:val="24"/>
          <w:szCs w:val="24"/>
        </w:rPr>
      </w:pPr>
      <w:r w:rsidRPr="00B369F9">
        <w:rPr>
          <w:rFonts w:ascii="Times New Roman" w:eastAsia="Times New Roman" w:hAnsi="Times New Roman" w:cs="Times New Roman"/>
          <w:sz w:val="24"/>
          <w:szCs w:val="24"/>
          <w:lang w:eastAsia="ru-RU"/>
        </w:rPr>
        <w:t xml:space="preserve">Социальные льготы и гарантии предоставляются работникам Общества в соответствии с Положением об оплате труда АО «Чеченэнерго», утвержденным приказом ПАО «Россети Северный Кавказ» от 20.03.2019 №149 и </w:t>
      </w:r>
      <w:r w:rsidRPr="00B369F9">
        <w:rPr>
          <w:rFonts w:ascii="Times New Roman" w:eastAsia="Calibri" w:hAnsi="Times New Roman" w:cs="Times New Roman"/>
          <w:sz w:val="24"/>
          <w:szCs w:val="24"/>
          <w:lang w:eastAsia="ru-RU"/>
        </w:rPr>
        <w:t>предусматривают следующие дополнительные льготы, гарантии и компенсации:</w:t>
      </w:r>
    </w:p>
    <w:p w:rsidR="00195D14" w:rsidRPr="00B369F9" w:rsidRDefault="00195D14" w:rsidP="00195D14">
      <w:pPr>
        <w:spacing w:after="0" w:line="240" w:lineRule="auto"/>
        <w:ind w:firstLine="567"/>
        <w:jc w:val="both"/>
        <w:rPr>
          <w:rFonts w:ascii="Times New Roman" w:eastAsia="Calibri" w:hAnsi="Times New Roman" w:cs="Times New Roman"/>
          <w:sz w:val="24"/>
          <w:szCs w:val="24"/>
          <w:lang w:eastAsia="ru-RU"/>
        </w:rPr>
      </w:pPr>
      <w:r w:rsidRPr="00B369F9">
        <w:rPr>
          <w:rFonts w:ascii="Times New Roman" w:eastAsia="Calibri" w:hAnsi="Times New Roman" w:cs="Times New Roman"/>
          <w:sz w:val="24"/>
          <w:szCs w:val="24"/>
          <w:lang w:eastAsia="ru-RU"/>
        </w:rPr>
        <w:t>- материальная помощь к юбилейным датам;</w:t>
      </w:r>
    </w:p>
    <w:p w:rsidR="00195D14" w:rsidRPr="00B369F9" w:rsidRDefault="00195D14" w:rsidP="00195D14">
      <w:pPr>
        <w:spacing w:after="0" w:line="240" w:lineRule="auto"/>
        <w:ind w:firstLine="567"/>
        <w:jc w:val="both"/>
        <w:rPr>
          <w:rFonts w:ascii="Calibri" w:eastAsia="Calibri" w:hAnsi="Calibri" w:cs="Times New Roman"/>
          <w:sz w:val="24"/>
          <w:szCs w:val="24"/>
        </w:rPr>
      </w:pPr>
      <w:r w:rsidRPr="00B369F9">
        <w:rPr>
          <w:rFonts w:ascii="Times New Roman" w:eastAsia="Calibri" w:hAnsi="Times New Roman" w:cs="Times New Roman"/>
          <w:sz w:val="24"/>
          <w:szCs w:val="24"/>
          <w:lang w:eastAsia="ru-RU"/>
        </w:rPr>
        <w:t>- материальная помощь при рождении ребенка и регистрации брака;</w:t>
      </w:r>
    </w:p>
    <w:p w:rsidR="00195D14" w:rsidRPr="00B369F9" w:rsidRDefault="00195D14" w:rsidP="00195D14">
      <w:pPr>
        <w:spacing w:after="0" w:line="240" w:lineRule="auto"/>
        <w:ind w:firstLine="567"/>
        <w:jc w:val="both"/>
        <w:rPr>
          <w:rFonts w:ascii="Calibri" w:eastAsia="Calibri" w:hAnsi="Calibri" w:cs="Times New Roman"/>
          <w:sz w:val="24"/>
          <w:szCs w:val="24"/>
        </w:rPr>
      </w:pPr>
      <w:r w:rsidRPr="00B369F9">
        <w:rPr>
          <w:rFonts w:ascii="Times New Roman" w:eastAsia="Calibri" w:hAnsi="Times New Roman" w:cs="Times New Roman"/>
          <w:sz w:val="24"/>
          <w:szCs w:val="24"/>
          <w:lang w:eastAsia="ru-RU"/>
        </w:rPr>
        <w:lastRenderedPageBreak/>
        <w:t>- ежемесячная компенсационная выплата женщинам, находящимся в отпуске по уходу за ребенком до трех лет;</w:t>
      </w:r>
    </w:p>
    <w:p w:rsidR="00195D14" w:rsidRPr="00B369F9" w:rsidRDefault="00195D14" w:rsidP="00195D14">
      <w:pPr>
        <w:spacing w:after="0" w:line="240" w:lineRule="auto"/>
        <w:ind w:firstLine="567"/>
        <w:jc w:val="both"/>
        <w:rPr>
          <w:rFonts w:ascii="Calibri" w:eastAsia="Calibri" w:hAnsi="Calibri" w:cs="Times New Roman"/>
          <w:sz w:val="24"/>
          <w:szCs w:val="24"/>
        </w:rPr>
      </w:pPr>
      <w:r w:rsidRPr="00B369F9">
        <w:rPr>
          <w:rFonts w:ascii="Times New Roman" w:eastAsia="Calibri" w:hAnsi="Times New Roman" w:cs="Times New Roman"/>
          <w:sz w:val="24"/>
          <w:szCs w:val="24"/>
          <w:lang w:eastAsia="ru-RU"/>
        </w:rPr>
        <w:t>- материальная помощь при увольнении в связи с призывом на срочную службу;</w:t>
      </w:r>
    </w:p>
    <w:p w:rsidR="00195D14" w:rsidRPr="00B369F9" w:rsidRDefault="00195D14" w:rsidP="00195D14">
      <w:pPr>
        <w:spacing w:after="0" w:line="240" w:lineRule="auto"/>
        <w:ind w:firstLine="567"/>
        <w:jc w:val="both"/>
        <w:rPr>
          <w:rFonts w:ascii="Calibri" w:eastAsia="Calibri" w:hAnsi="Calibri" w:cs="Times New Roman"/>
          <w:sz w:val="24"/>
          <w:szCs w:val="24"/>
        </w:rPr>
      </w:pPr>
      <w:r w:rsidRPr="00B369F9">
        <w:rPr>
          <w:rFonts w:ascii="Times New Roman" w:eastAsia="Calibri" w:hAnsi="Times New Roman" w:cs="Times New Roman"/>
          <w:sz w:val="24"/>
          <w:szCs w:val="24"/>
          <w:lang w:eastAsia="ru-RU"/>
        </w:rPr>
        <w:t>- материальная помощь в связи со смертью работников и членов их семей;</w:t>
      </w:r>
    </w:p>
    <w:p w:rsidR="00195D14" w:rsidRPr="00B369F9" w:rsidRDefault="00195D14" w:rsidP="00195D14">
      <w:pPr>
        <w:spacing w:after="0" w:line="240" w:lineRule="auto"/>
        <w:ind w:firstLine="567"/>
        <w:jc w:val="both"/>
        <w:rPr>
          <w:rFonts w:ascii="Times New Roman" w:eastAsia="Calibri" w:hAnsi="Times New Roman" w:cs="Times New Roman"/>
          <w:color w:val="1F497D"/>
          <w:sz w:val="24"/>
          <w:szCs w:val="24"/>
          <w:lang w:eastAsia="ru-RU"/>
        </w:rPr>
      </w:pPr>
      <w:r w:rsidRPr="00B369F9">
        <w:rPr>
          <w:rFonts w:ascii="Times New Roman" w:eastAsia="Calibri" w:hAnsi="Times New Roman" w:cs="Times New Roman"/>
          <w:sz w:val="24"/>
          <w:szCs w:val="24"/>
          <w:lang w:eastAsia="ru-RU"/>
        </w:rPr>
        <w:t>- материальная помощь при уходе в очередной отпуск (раз в год);</w:t>
      </w:r>
    </w:p>
    <w:p w:rsidR="00195D14" w:rsidRPr="00B369F9" w:rsidRDefault="00195D14" w:rsidP="00195D14">
      <w:pPr>
        <w:spacing w:after="0" w:line="240" w:lineRule="auto"/>
        <w:ind w:firstLine="567"/>
        <w:jc w:val="both"/>
        <w:rPr>
          <w:rFonts w:ascii="Times New Roman" w:eastAsia="Calibri" w:hAnsi="Times New Roman" w:cs="Times New Roman"/>
          <w:sz w:val="24"/>
          <w:szCs w:val="24"/>
          <w:lang w:eastAsia="ru-RU"/>
        </w:rPr>
      </w:pPr>
      <w:r w:rsidRPr="00B369F9">
        <w:rPr>
          <w:rFonts w:ascii="Times New Roman" w:eastAsia="Calibri" w:hAnsi="Times New Roman" w:cs="Times New Roman"/>
          <w:sz w:val="24"/>
          <w:szCs w:val="24"/>
          <w:lang w:eastAsia="ru-RU"/>
        </w:rPr>
        <w:t xml:space="preserve">- материальная помощь при тяжелом заболевании, требующем длительного лечения или хирургического вмешательства; </w:t>
      </w:r>
    </w:p>
    <w:p w:rsidR="00195D14" w:rsidRPr="00B369F9" w:rsidRDefault="00195D14" w:rsidP="00195D14">
      <w:pPr>
        <w:spacing w:after="0" w:line="240" w:lineRule="auto"/>
        <w:ind w:firstLine="567"/>
        <w:jc w:val="both"/>
        <w:rPr>
          <w:rFonts w:ascii="Times New Roman" w:eastAsia="Calibri" w:hAnsi="Times New Roman" w:cs="Times New Roman"/>
          <w:sz w:val="24"/>
          <w:szCs w:val="24"/>
          <w:lang w:eastAsia="ru-RU"/>
        </w:rPr>
      </w:pPr>
      <w:r w:rsidRPr="00B369F9">
        <w:rPr>
          <w:rFonts w:ascii="Times New Roman" w:eastAsia="Calibri" w:hAnsi="Times New Roman" w:cs="Times New Roman"/>
          <w:sz w:val="24"/>
          <w:szCs w:val="24"/>
          <w:lang w:eastAsia="ru-RU"/>
        </w:rPr>
        <w:t>- дополнительный отпуск без сохранения заработной платы (в связи с вступлением в брак работника или его детей, в связи со смертью родственников или членов семьи, с связи с рождением ребенка, переездом на новое место жительства);</w:t>
      </w:r>
    </w:p>
    <w:p w:rsidR="00195D14" w:rsidRPr="00B369F9" w:rsidRDefault="00195D14" w:rsidP="00195D14">
      <w:pPr>
        <w:spacing w:after="0" w:line="240" w:lineRule="auto"/>
        <w:ind w:firstLine="567"/>
        <w:jc w:val="both"/>
        <w:rPr>
          <w:rFonts w:ascii="Calibri" w:eastAsia="Calibri" w:hAnsi="Calibri" w:cs="Times New Roman"/>
          <w:sz w:val="24"/>
          <w:szCs w:val="24"/>
        </w:rPr>
      </w:pPr>
      <w:r w:rsidRPr="00B369F9">
        <w:rPr>
          <w:rFonts w:ascii="Times New Roman" w:eastAsia="Calibri" w:hAnsi="Times New Roman" w:cs="Times New Roman"/>
          <w:sz w:val="24"/>
          <w:szCs w:val="24"/>
          <w:lang w:eastAsia="ru-RU"/>
        </w:rPr>
        <w:t>- другие льготы и выплаты.</w:t>
      </w:r>
    </w:p>
    <w:p w:rsidR="00195D14" w:rsidRPr="00B369F9" w:rsidRDefault="00195D14" w:rsidP="00195D14">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Кроме того, Общество оказывает поддержку неработающим пенсионерам. В 2023 году бывшим работникам Общества - участникам ВОВ и труженикам тыла - к 78-летию годовщины Победы в Великой Отечественной войне была оказана материальная помощь. Работникам Общества - участникам боевых действий </w:t>
      </w:r>
      <w:r w:rsidR="00607D40">
        <w:rPr>
          <w:rFonts w:ascii="Times New Roman" w:eastAsia="Times New Roman" w:hAnsi="Times New Roman" w:cs="Times New Roman"/>
          <w:sz w:val="24"/>
          <w:szCs w:val="24"/>
          <w:lang w:eastAsia="ru-RU"/>
        </w:rPr>
        <w:t>–</w:t>
      </w:r>
      <w:r w:rsidRPr="00B369F9">
        <w:rPr>
          <w:rFonts w:ascii="Times New Roman" w:eastAsia="Times New Roman" w:hAnsi="Times New Roman" w:cs="Times New Roman"/>
          <w:sz w:val="24"/>
          <w:szCs w:val="24"/>
          <w:lang w:eastAsia="ru-RU"/>
        </w:rPr>
        <w:t xml:space="preserve"> была оказана материальная помощь в связи с празднованием Дня защитника Отечества.</w:t>
      </w:r>
    </w:p>
    <w:p w:rsidR="00195D14" w:rsidRPr="00B369F9" w:rsidRDefault="00195D14" w:rsidP="00195D14">
      <w:pPr>
        <w:spacing w:after="0" w:line="240" w:lineRule="auto"/>
        <w:ind w:firstLine="708"/>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рамках празднования Нового года детям сотрудников в возрасте от 0 до 14 лет были вручены новогодние подарки.</w:t>
      </w:r>
    </w:p>
    <w:p w:rsidR="00195D14" w:rsidRPr="00B369F9" w:rsidRDefault="00195D14" w:rsidP="00195D14">
      <w:pPr>
        <w:spacing w:after="0" w:line="240" w:lineRule="auto"/>
        <w:ind w:firstLine="708"/>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Дети работников Общества в апреле 2023 года приняли участие в конкурсе детского рисунка «Россети: рисуют дети», проводимом ПАО «Россети», а в ноябре к профессиональному празднику – Дню энергетика в ПАО «Россети Северный Кавказ» был проведен конкурс детских рисунков «Я рисую этот мир», по итогам которого всем участникам вручены дипломы, а победителям – ценные подарки.</w:t>
      </w:r>
    </w:p>
    <w:p w:rsidR="00195D14" w:rsidRDefault="00195D14" w:rsidP="00195D14">
      <w:pPr>
        <w:spacing w:after="0" w:line="240" w:lineRule="auto"/>
        <w:ind w:firstLine="708"/>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2023 году разного уровня наград был удостоено 23 работника Общества, в том числе ведомственными наградами Министерства энергетики Российской Федерации, корпоративными наградами Министерства энергетики Российской Федерации, корпоративными наградами ПАО «Россети», ПАО «Россети Северный Кавказ», а также корпоративными наградами АО «Чеченэнерго»:</w:t>
      </w:r>
    </w:p>
    <w:p w:rsidR="003B4A0C" w:rsidRPr="00B369F9" w:rsidRDefault="003B4A0C" w:rsidP="00195D14">
      <w:pPr>
        <w:spacing w:after="0" w:line="240" w:lineRule="auto"/>
        <w:ind w:firstLine="708"/>
        <w:jc w:val="both"/>
        <w:rPr>
          <w:rFonts w:ascii="Times New Roman" w:eastAsia="Calibri" w:hAnsi="Times New Roman" w:cs="Times New Roman"/>
          <w:sz w:val="24"/>
          <w:szCs w:val="24"/>
        </w:rPr>
      </w:pPr>
    </w:p>
    <w:tbl>
      <w:tblPr>
        <w:tblW w:w="6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57"/>
        <w:gridCol w:w="1276"/>
      </w:tblGrid>
      <w:tr w:rsidR="00195D14" w:rsidRPr="00F94FF8" w:rsidTr="00F94FF8">
        <w:trPr>
          <w:cantSplit/>
          <w:trHeight w:val="58"/>
          <w:jc w:val="center"/>
        </w:trPr>
        <w:tc>
          <w:tcPr>
            <w:tcW w:w="4957" w:type="dxa"/>
            <w:tcMar>
              <w:top w:w="0" w:type="dxa"/>
              <w:left w:w="108" w:type="dxa"/>
              <w:bottom w:w="0" w:type="dxa"/>
              <w:right w:w="108" w:type="dxa"/>
            </w:tcMar>
            <w:hideMark/>
          </w:tcPr>
          <w:p w:rsidR="00195D14" w:rsidRPr="00F94FF8" w:rsidRDefault="00195D14" w:rsidP="00195D14">
            <w:pPr>
              <w:spacing w:after="0" w:line="58" w:lineRule="atLeast"/>
              <w:jc w:val="both"/>
              <w:rPr>
                <w:rFonts w:ascii="Times New Roman" w:hAnsi="Times New Roman" w:cs="Times New Roman"/>
                <w:sz w:val="20"/>
                <w:szCs w:val="20"/>
                <w:lang w:eastAsia="ru-RU"/>
              </w:rPr>
            </w:pPr>
            <w:r w:rsidRPr="00F94FF8">
              <w:rPr>
                <w:rFonts w:ascii="Times New Roman" w:hAnsi="Times New Roman" w:cs="Times New Roman"/>
                <w:sz w:val="20"/>
                <w:szCs w:val="20"/>
                <w:lang w:eastAsia="ru-RU"/>
              </w:rPr>
              <w:t>Вид награды</w:t>
            </w:r>
          </w:p>
        </w:tc>
        <w:tc>
          <w:tcPr>
            <w:tcW w:w="1276" w:type="dxa"/>
            <w:tcMar>
              <w:top w:w="0" w:type="dxa"/>
              <w:left w:w="108" w:type="dxa"/>
              <w:bottom w:w="0" w:type="dxa"/>
              <w:right w:w="108" w:type="dxa"/>
            </w:tcMar>
            <w:vAlign w:val="center"/>
            <w:hideMark/>
          </w:tcPr>
          <w:p w:rsidR="00195D14" w:rsidRPr="00F94FF8" w:rsidRDefault="00195D14" w:rsidP="00195D14">
            <w:pPr>
              <w:spacing w:after="0" w:line="58" w:lineRule="atLeast"/>
              <w:jc w:val="center"/>
              <w:rPr>
                <w:rFonts w:ascii="Times New Roman" w:hAnsi="Times New Roman" w:cs="Times New Roman"/>
                <w:b/>
                <w:bCs/>
                <w:color w:val="000000"/>
                <w:sz w:val="20"/>
                <w:szCs w:val="20"/>
                <w:lang w:eastAsia="ru-RU"/>
              </w:rPr>
            </w:pPr>
            <w:r w:rsidRPr="00F94FF8">
              <w:rPr>
                <w:rFonts w:ascii="Times New Roman" w:hAnsi="Times New Roman" w:cs="Times New Roman"/>
                <w:b/>
                <w:bCs/>
                <w:color w:val="000000"/>
                <w:sz w:val="20"/>
                <w:szCs w:val="20"/>
                <w:lang w:eastAsia="ru-RU"/>
              </w:rPr>
              <w:t>2023 год</w:t>
            </w:r>
          </w:p>
        </w:tc>
      </w:tr>
      <w:tr w:rsidR="00195D14" w:rsidRPr="00F94FF8" w:rsidTr="00F94FF8">
        <w:trPr>
          <w:cantSplit/>
          <w:trHeight w:val="58"/>
          <w:jc w:val="center"/>
        </w:trPr>
        <w:tc>
          <w:tcPr>
            <w:tcW w:w="4957" w:type="dxa"/>
            <w:tcMar>
              <w:top w:w="0" w:type="dxa"/>
              <w:left w:w="108" w:type="dxa"/>
              <w:bottom w:w="0" w:type="dxa"/>
              <w:right w:w="108" w:type="dxa"/>
            </w:tcMar>
            <w:hideMark/>
          </w:tcPr>
          <w:p w:rsidR="00195D14" w:rsidRPr="00F94FF8" w:rsidRDefault="00195D14" w:rsidP="00195D14">
            <w:pPr>
              <w:spacing w:after="0" w:line="58" w:lineRule="atLeast"/>
              <w:jc w:val="both"/>
              <w:rPr>
                <w:rFonts w:ascii="Times New Roman" w:hAnsi="Times New Roman" w:cs="Times New Roman"/>
                <w:sz w:val="20"/>
                <w:szCs w:val="20"/>
                <w:lang w:eastAsia="ru-RU"/>
              </w:rPr>
            </w:pPr>
            <w:r w:rsidRPr="00F94FF8">
              <w:rPr>
                <w:rFonts w:ascii="Times New Roman" w:hAnsi="Times New Roman" w:cs="Times New Roman"/>
                <w:sz w:val="20"/>
                <w:szCs w:val="20"/>
                <w:lang w:eastAsia="ru-RU"/>
              </w:rPr>
              <w:t>Число работников, удостоенных ведомственных наград Минэнерго России</w:t>
            </w:r>
          </w:p>
        </w:tc>
        <w:tc>
          <w:tcPr>
            <w:tcW w:w="1276" w:type="dxa"/>
            <w:tcMar>
              <w:top w:w="0" w:type="dxa"/>
              <w:left w:w="108" w:type="dxa"/>
              <w:bottom w:w="0" w:type="dxa"/>
              <w:right w:w="108" w:type="dxa"/>
            </w:tcMar>
            <w:vAlign w:val="center"/>
            <w:hideMark/>
          </w:tcPr>
          <w:p w:rsidR="00195D14" w:rsidRPr="00F94FF8" w:rsidRDefault="00195D14" w:rsidP="00195D14">
            <w:pPr>
              <w:spacing w:after="0" w:line="240" w:lineRule="auto"/>
              <w:jc w:val="center"/>
              <w:rPr>
                <w:rFonts w:ascii="Times New Roman" w:hAnsi="Times New Roman" w:cs="Times New Roman"/>
                <w:color w:val="000000"/>
                <w:sz w:val="20"/>
                <w:szCs w:val="20"/>
                <w:lang w:val="en-US" w:eastAsia="ru-RU"/>
              </w:rPr>
            </w:pPr>
            <w:r w:rsidRPr="00F94FF8">
              <w:rPr>
                <w:rFonts w:ascii="Times New Roman" w:hAnsi="Times New Roman" w:cs="Times New Roman"/>
                <w:color w:val="000000"/>
                <w:sz w:val="20"/>
                <w:szCs w:val="20"/>
                <w:lang w:val="en-US" w:eastAsia="ru-RU"/>
              </w:rPr>
              <w:t>8</w:t>
            </w:r>
          </w:p>
        </w:tc>
      </w:tr>
      <w:tr w:rsidR="00195D14" w:rsidRPr="00F94FF8" w:rsidTr="00F94FF8">
        <w:trPr>
          <w:cantSplit/>
          <w:trHeight w:val="58"/>
          <w:jc w:val="center"/>
        </w:trPr>
        <w:tc>
          <w:tcPr>
            <w:tcW w:w="4957" w:type="dxa"/>
            <w:tcMar>
              <w:top w:w="0" w:type="dxa"/>
              <w:left w:w="108" w:type="dxa"/>
              <w:bottom w:w="0" w:type="dxa"/>
              <w:right w:w="108" w:type="dxa"/>
            </w:tcMar>
            <w:hideMark/>
          </w:tcPr>
          <w:p w:rsidR="00195D14" w:rsidRPr="00F94FF8" w:rsidRDefault="00195D14" w:rsidP="00195D14">
            <w:pPr>
              <w:spacing w:after="0" w:line="58" w:lineRule="atLeast"/>
              <w:jc w:val="both"/>
              <w:rPr>
                <w:rFonts w:ascii="Times New Roman" w:hAnsi="Times New Roman" w:cs="Times New Roman"/>
                <w:sz w:val="20"/>
                <w:szCs w:val="20"/>
                <w:lang w:eastAsia="ru-RU"/>
              </w:rPr>
            </w:pPr>
            <w:r w:rsidRPr="00F94FF8">
              <w:rPr>
                <w:rFonts w:ascii="Times New Roman" w:hAnsi="Times New Roman" w:cs="Times New Roman"/>
                <w:sz w:val="20"/>
                <w:szCs w:val="20"/>
                <w:lang w:eastAsia="ru-RU"/>
              </w:rPr>
              <w:t xml:space="preserve">Число работников, удостоенных отраслевых наград </w:t>
            </w:r>
          </w:p>
        </w:tc>
        <w:tc>
          <w:tcPr>
            <w:tcW w:w="1276" w:type="dxa"/>
            <w:tcMar>
              <w:top w:w="0" w:type="dxa"/>
              <w:left w:w="108" w:type="dxa"/>
              <w:bottom w:w="0" w:type="dxa"/>
              <w:right w:w="108" w:type="dxa"/>
            </w:tcMar>
            <w:vAlign w:val="center"/>
            <w:hideMark/>
          </w:tcPr>
          <w:p w:rsidR="00195D14" w:rsidRPr="00F94FF8" w:rsidRDefault="00195D14" w:rsidP="00195D14">
            <w:pPr>
              <w:spacing w:after="0" w:line="240" w:lineRule="auto"/>
              <w:jc w:val="center"/>
              <w:rPr>
                <w:rFonts w:ascii="Times New Roman" w:hAnsi="Times New Roman" w:cs="Times New Roman"/>
                <w:color w:val="000000"/>
                <w:sz w:val="20"/>
                <w:szCs w:val="20"/>
                <w:lang w:val="en-US" w:eastAsia="ru-RU"/>
              </w:rPr>
            </w:pPr>
            <w:r w:rsidRPr="00F94FF8">
              <w:rPr>
                <w:rFonts w:ascii="Times New Roman" w:hAnsi="Times New Roman" w:cs="Times New Roman"/>
                <w:color w:val="000000"/>
                <w:sz w:val="20"/>
                <w:szCs w:val="20"/>
                <w:lang w:val="en-US" w:eastAsia="ru-RU"/>
              </w:rPr>
              <w:t>6</w:t>
            </w:r>
          </w:p>
        </w:tc>
      </w:tr>
      <w:tr w:rsidR="00195D14" w:rsidRPr="00F94FF8" w:rsidTr="00F94FF8">
        <w:trPr>
          <w:cantSplit/>
          <w:trHeight w:val="58"/>
          <w:jc w:val="center"/>
        </w:trPr>
        <w:tc>
          <w:tcPr>
            <w:tcW w:w="4957" w:type="dxa"/>
            <w:tcMar>
              <w:top w:w="0" w:type="dxa"/>
              <w:left w:w="108" w:type="dxa"/>
              <w:bottom w:w="0" w:type="dxa"/>
              <w:right w:w="108" w:type="dxa"/>
            </w:tcMar>
            <w:hideMark/>
          </w:tcPr>
          <w:p w:rsidR="00195D14" w:rsidRPr="00F94FF8" w:rsidRDefault="00195D14" w:rsidP="00195D14">
            <w:pPr>
              <w:spacing w:after="0" w:line="58" w:lineRule="atLeast"/>
              <w:jc w:val="both"/>
              <w:rPr>
                <w:rFonts w:ascii="Times New Roman" w:hAnsi="Times New Roman" w:cs="Times New Roman"/>
                <w:sz w:val="20"/>
                <w:szCs w:val="20"/>
                <w:lang w:eastAsia="ru-RU"/>
              </w:rPr>
            </w:pPr>
            <w:r w:rsidRPr="00F94FF8">
              <w:rPr>
                <w:rFonts w:ascii="Times New Roman" w:hAnsi="Times New Roman" w:cs="Times New Roman"/>
                <w:sz w:val="20"/>
                <w:szCs w:val="20"/>
                <w:lang w:eastAsia="ru-RU"/>
              </w:rPr>
              <w:t>Число работников, удостоенных корпоративных наград</w:t>
            </w:r>
          </w:p>
        </w:tc>
        <w:tc>
          <w:tcPr>
            <w:tcW w:w="1276" w:type="dxa"/>
            <w:tcMar>
              <w:top w:w="0" w:type="dxa"/>
              <w:left w:w="108" w:type="dxa"/>
              <w:bottom w:w="0" w:type="dxa"/>
              <w:right w:w="108" w:type="dxa"/>
            </w:tcMar>
            <w:vAlign w:val="center"/>
            <w:hideMark/>
          </w:tcPr>
          <w:p w:rsidR="00195D14" w:rsidRPr="00F94FF8" w:rsidRDefault="00195D14" w:rsidP="00195D14">
            <w:pPr>
              <w:spacing w:after="0" w:line="240" w:lineRule="auto"/>
              <w:jc w:val="center"/>
              <w:rPr>
                <w:rFonts w:ascii="Times New Roman" w:hAnsi="Times New Roman" w:cs="Times New Roman"/>
                <w:color w:val="000000"/>
                <w:sz w:val="20"/>
                <w:szCs w:val="20"/>
                <w:lang w:val="en-US" w:eastAsia="ru-RU"/>
              </w:rPr>
            </w:pPr>
            <w:r w:rsidRPr="00F94FF8">
              <w:rPr>
                <w:rFonts w:ascii="Times New Roman" w:hAnsi="Times New Roman" w:cs="Times New Roman"/>
                <w:color w:val="000000"/>
                <w:sz w:val="20"/>
                <w:szCs w:val="20"/>
                <w:lang w:val="en-US" w:eastAsia="ru-RU"/>
              </w:rPr>
              <w:t>9</w:t>
            </w:r>
          </w:p>
        </w:tc>
      </w:tr>
    </w:tbl>
    <w:p w:rsidR="00195D14" w:rsidRPr="00B369F9" w:rsidRDefault="00195D14" w:rsidP="00316631">
      <w:pPr>
        <w:tabs>
          <w:tab w:val="left" w:pos="993"/>
        </w:tabs>
        <w:spacing w:after="0" w:line="240" w:lineRule="auto"/>
        <w:ind w:firstLine="709"/>
        <w:jc w:val="both"/>
        <w:rPr>
          <w:rFonts w:ascii="Times New Roman" w:hAnsi="Times New Roman" w:cs="Times New Roman"/>
          <w:sz w:val="24"/>
          <w:szCs w:val="24"/>
        </w:rPr>
      </w:pPr>
    </w:p>
    <w:p w:rsidR="00316631" w:rsidRPr="00B369F9" w:rsidRDefault="00316631" w:rsidP="00316631">
      <w:pPr>
        <w:pStyle w:val="1"/>
        <w:ind w:firstLine="709"/>
        <w:rPr>
          <w:b w:val="0"/>
        </w:rPr>
      </w:pPr>
      <w:bookmarkStart w:id="30" w:name="_Toc163738871"/>
      <w:r w:rsidRPr="00B369F9">
        <w:t>Управление охраной труда и промышленной безопасностью</w:t>
      </w:r>
      <w:bookmarkEnd w:id="30"/>
    </w:p>
    <w:p w:rsidR="00316631" w:rsidRPr="00B369F9" w:rsidRDefault="00316631" w:rsidP="00316631">
      <w:pPr>
        <w:tabs>
          <w:tab w:val="left" w:pos="993"/>
        </w:tabs>
        <w:spacing w:after="0" w:line="240" w:lineRule="auto"/>
        <w:ind w:firstLine="709"/>
        <w:jc w:val="both"/>
        <w:rPr>
          <w:rFonts w:ascii="Times New Roman" w:hAnsi="Times New Roman" w:cs="Times New Roman"/>
          <w:sz w:val="24"/>
          <w:szCs w:val="24"/>
        </w:rPr>
      </w:pPr>
    </w:p>
    <w:p w:rsidR="00EF562B" w:rsidRPr="00B369F9" w:rsidRDefault="00EF562B" w:rsidP="00EF562B">
      <w:pPr>
        <w:tabs>
          <w:tab w:val="left" w:pos="993"/>
        </w:tabs>
        <w:spacing w:after="0" w:line="240" w:lineRule="auto"/>
        <w:ind w:firstLine="709"/>
        <w:jc w:val="both"/>
        <w:rPr>
          <w:rFonts w:ascii="Times New Roman" w:hAnsi="Times New Roman" w:cs="Times New Roman"/>
          <w:b/>
          <w:sz w:val="24"/>
          <w:szCs w:val="24"/>
        </w:rPr>
      </w:pPr>
      <w:r w:rsidRPr="00B369F9">
        <w:rPr>
          <w:rFonts w:ascii="Times New Roman" w:hAnsi="Times New Roman" w:cs="Times New Roman"/>
          <w:b/>
          <w:sz w:val="24"/>
          <w:szCs w:val="24"/>
        </w:rPr>
        <w:t>Охрана труда и промышленная безопасность</w:t>
      </w:r>
    </w:p>
    <w:p w:rsidR="00EF562B" w:rsidRPr="00B369F9" w:rsidRDefault="00EF562B" w:rsidP="00EF562B">
      <w:pPr>
        <w:tabs>
          <w:tab w:val="left" w:pos="993"/>
        </w:tabs>
        <w:spacing w:after="0" w:line="240" w:lineRule="auto"/>
        <w:ind w:firstLine="709"/>
        <w:jc w:val="both"/>
        <w:rPr>
          <w:rFonts w:ascii="Times New Roman" w:hAnsi="Times New Roman" w:cs="Times New Roman"/>
          <w:sz w:val="24"/>
          <w:szCs w:val="24"/>
        </w:rPr>
      </w:pP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Реализация концепции нулевого травматизма.</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целях повышения уровня производственной дисциплины, решения проблем электробезопасности, а также внедрения новых принципов эффективной системы управления охраной труда в Обществе реализуется концепция «нулевого травматизма» (приказ от 13.02.2023 № 32).</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Разработана и утверждена программа мероприятий (дорожная карта) по внедрению данной концепции.</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Мероприятия дорожной карты, запланированные на 2023 год, выполнены в полном объеме: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проведены совещания Общества в формате стратегических сессий с привлечением сотрудников филиала ПАО «Россети» - ЦТН;</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lastRenderedPageBreak/>
        <w:t>- организовано посещение техническими руководителями Общества подразделений и встреч с коллективами работников в филиалах в рамках реализации концепции «нулевого травматизма»;</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обеспечивается распространение и пропаганда «ключевых правил безопасности» - правил наивысшей значимости, определяющих основную модель поведения работников при выполнении работ, связанных с высоким риском травматизма, четкое следование данным правилам;</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реализовывается План мероприятий по разработке и внедрению элементов системы материальной и нематериальной мотивации работников;</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обеспечивается обучение тренеров по охране труда из числа сотрудников компании в рамках реализации концепции «нулевого травматизма»;</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прочие мероприятия.</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Обеспечение требований промышленной безопасности, включая описание: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опасных производственных объектов, эксплуатируемых в Обществе;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мероприятий в области промышленной безопасности, реализуемых на опасных производственных объектах, эксплуатируемых в Обществе (проведение экспертизы промышленной безопасности, технического освидетельствования технических устройств, применяемых на опасных производственных объектах, подготовка и аттестация персонала);</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порядка обеспечения готовности к действиям по локализации и ликвидации последствий аварии на опасных производственных объектах, эксплуатируемых в Обществе;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порядка организации расследования и учета аварий, инцидентов на опасных производственных объектах, эксплуатируемых в Обществе.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На балансе Общества зарегистрировано 15 опасных производственных объектов (далее – ОПО) – транспортных площадок. Количество эксплуатируемых технических устройств на ОПО – 88 единиц техники.</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Требование обязательного страхования ответственности организации, эксплуатирующей ОПО</w:t>
      </w:r>
      <w:r w:rsidR="00607D40">
        <w:rPr>
          <w:rFonts w:ascii="Times New Roman" w:hAnsi="Times New Roman" w:cs="Times New Roman"/>
          <w:sz w:val="24"/>
          <w:szCs w:val="24"/>
        </w:rPr>
        <w:t>,</w:t>
      </w:r>
      <w:r w:rsidRPr="00B369F9">
        <w:rPr>
          <w:rFonts w:ascii="Times New Roman" w:hAnsi="Times New Roman" w:cs="Times New Roman"/>
          <w:sz w:val="24"/>
          <w:szCs w:val="24"/>
        </w:rPr>
        <w:t xml:space="preserve"> выполнено </w:t>
      </w:r>
      <w:r w:rsidR="00607D40">
        <w:rPr>
          <w:rFonts w:ascii="Times New Roman" w:hAnsi="Times New Roman" w:cs="Times New Roman"/>
          <w:sz w:val="24"/>
          <w:szCs w:val="24"/>
        </w:rPr>
        <w:t>–</w:t>
      </w:r>
      <w:r w:rsidRPr="00B369F9">
        <w:rPr>
          <w:rFonts w:ascii="Times New Roman" w:hAnsi="Times New Roman" w:cs="Times New Roman"/>
          <w:sz w:val="24"/>
          <w:szCs w:val="24"/>
        </w:rPr>
        <w:t xml:space="preserve"> заключен договор страхования от 28.05.2023 </w:t>
      </w:r>
      <w:r w:rsidR="00607D40" w:rsidRPr="00B369F9">
        <w:rPr>
          <w:rFonts w:ascii="Times New Roman" w:hAnsi="Times New Roman" w:cs="Times New Roman"/>
          <w:sz w:val="24"/>
          <w:szCs w:val="24"/>
        </w:rPr>
        <w:t xml:space="preserve">№ 51 </w:t>
      </w:r>
      <w:r w:rsidRPr="00B369F9">
        <w:rPr>
          <w:rFonts w:ascii="Times New Roman" w:hAnsi="Times New Roman" w:cs="Times New Roman"/>
          <w:sz w:val="24"/>
          <w:szCs w:val="24"/>
        </w:rPr>
        <w:t>со сроком действия до 27.05.2024 с АО «АльфаСтрахование».</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течение 2023 году в Обществе проведено:</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- 26 экспертиз промышленной безопасности;</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- 62 технических освидетельствования технических устройств, применяемых на опасных производственных объектах;</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- 19 подготовок и аттестаций производственного персонала, эксплуатирующего ОПО.</w:t>
      </w:r>
    </w:p>
    <w:p w:rsidR="00EF562B"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части обеспечения готовности к действиям по локализации и ликвидации последствий аварии на ОПО, эксплуатируемых в Обществе – заключен договор с АО «Центр аварийно-спасательных и экологических операций» Чеченского территориального подразделения Северо-Кавказского центра «Экоспас» на обслуживание ОПО по ликвидации чрезвычайных ситуаций № 51 от 31.05.2023.</w:t>
      </w:r>
    </w:p>
    <w:p w:rsidR="00316631" w:rsidRPr="00B369F9" w:rsidRDefault="00EF562B" w:rsidP="00EF562B">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Организовано расследование и учет аварий, инцидентов на опасных производственных объектах, эксплуатируемых Обществом. Порядок расследования определен Положением об организации производственного контроля за соблюдением требований промышленной безопасности на опасных производственных объектах ПАО «Россети Северный Кавказ» и АО «Чеченэнерго», утвержденным приказом ПАО «Россети Северный Кавказ» от 27.03.2023 № 104.</w:t>
      </w:r>
    </w:p>
    <w:p w:rsidR="00EF562B" w:rsidRPr="00B369F9" w:rsidRDefault="00EF562B" w:rsidP="00316631">
      <w:pPr>
        <w:tabs>
          <w:tab w:val="left" w:pos="993"/>
        </w:tabs>
        <w:spacing w:after="0" w:line="240" w:lineRule="auto"/>
        <w:ind w:firstLine="709"/>
        <w:jc w:val="both"/>
        <w:rPr>
          <w:rFonts w:ascii="Times New Roman" w:hAnsi="Times New Roman" w:cs="Times New Roman"/>
          <w:sz w:val="24"/>
          <w:szCs w:val="24"/>
        </w:rPr>
      </w:pPr>
    </w:p>
    <w:p w:rsidR="00316631" w:rsidRPr="00B369F9" w:rsidRDefault="00316631" w:rsidP="00316631">
      <w:pPr>
        <w:tabs>
          <w:tab w:val="left" w:pos="993"/>
        </w:tabs>
        <w:spacing w:after="0" w:line="240" w:lineRule="auto"/>
        <w:ind w:firstLine="709"/>
        <w:jc w:val="both"/>
        <w:rPr>
          <w:rFonts w:ascii="Times New Roman" w:hAnsi="Times New Roman" w:cs="Times New Roman"/>
          <w:b/>
          <w:sz w:val="24"/>
          <w:szCs w:val="24"/>
        </w:rPr>
      </w:pPr>
      <w:r w:rsidRPr="00B369F9">
        <w:rPr>
          <w:rFonts w:ascii="Times New Roman" w:hAnsi="Times New Roman" w:cs="Times New Roman"/>
          <w:b/>
          <w:sz w:val="24"/>
          <w:szCs w:val="24"/>
        </w:rPr>
        <w:t>Охрана окружающей среды</w:t>
      </w:r>
    </w:p>
    <w:p w:rsidR="00316631" w:rsidRPr="00B369F9" w:rsidRDefault="00316631" w:rsidP="00316631">
      <w:pPr>
        <w:tabs>
          <w:tab w:val="left" w:pos="993"/>
        </w:tabs>
        <w:spacing w:after="0" w:line="240" w:lineRule="auto"/>
        <w:ind w:firstLine="709"/>
        <w:jc w:val="both"/>
        <w:rPr>
          <w:rFonts w:ascii="Times New Roman" w:hAnsi="Times New Roman" w:cs="Times New Roman"/>
          <w:sz w:val="24"/>
          <w:szCs w:val="24"/>
        </w:rPr>
      </w:pP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Решением Совета директоров ПАО «Россети» (протокол от 20.07.2020 № 422) утверждена «Экологическая политика электросетевого комплекса». </w:t>
      </w:r>
      <w:r w:rsidR="00EE5EC3">
        <w:rPr>
          <w:rFonts w:ascii="Times New Roman" w:hAnsi="Times New Roman" w:cs="Times New Roman"/>
          <w:sz w:val="24"/>
          <w:szCs w:val="24"/>
        </w:rPr>
        <w:t xml:space="preserve">Приказом </w:t>
      </w:r>
      <w:r w:rsidR="00EE5EC3" w:rsidRPr="00EE5EC3">
        <w:rPr>
          <w:rFonts w:ascii="Times New Roman" w:hAnsi="Times New Roman" w:cs="Times New Roman"/>
          <w:sz w:val="24"/>
          <w:szCs w:val="24"/>
        </w:rPr>
        <w:lastRenderedPageBreak/>
        <w:t>А</w:t>
      </w:r>
      <w:r w:rsidR="00EE5EC3">
        <w:rPr>
          <w:rFonts w:ascii="Times New Roman" w:hAnsi="Times New Roman" w:cs="Times New Roman"/>
          <w:sz w:val="24"/>
          <w:szCs w:val="24"/>
        </w:rPr>
        <w:t>О </w:t>
      </w:r>
      <w:r w:rsidR="00EE5EC3" w:rsidRPr="00EE5EC3">
        <w:rPr>
          <w:rFonts w:ascii="Times New Roman" w:hAnsi="Times New Roman" w:cs="Times New Roman"/>
          <w:sz w:val="24"/>
          <w:szCs w:val="24"/>
        </w:rPr>
        <w:t>«Чеченэнерго» от 08.02.2022 № 31 «Об Экологической политике» Общество присоединилось к реализации Экологической политики</w:t>
      </w:r>
      <w:r w:rsidR="00EE5EC3">
        <w:rPr>
          <w:rFonts w:ascii="Times New Roman" w:hAnsi="Times New Roman" w:cs="Times New Roman"/>
          <w:sz w:val="24"/>
          <w:szCs w:val="24"/>
        </w:rPr>
        <w:t>,</w:t>
      </w:r>
      <w:r w:rsidR="00EE5EC3" w:rsidRPr="00EE5EC3">
        <w:rPr>
          <w:rFonts w:ascii="Times New Roman" w:hAnsi="Times New Roman" w:cs="Times New Roman"/>
          <w:sz w:val="24"/>
          <w:szCs w:val="24"/>
        </w:rPr>
        <w:t xml:space="preserve"> утвержденной </w:t>
      </w:r>
      <w:r w:rsidR="00EE5EC3">
        <w:rPr>
          <w:rFonts w:ascii="Times New Roman" w:hAnsi="Times New Roman" w:cs="Times New Roman"/>
          <w:sz w:val="24"/>
          <w:szCs w:val="24"/>
        </w:rPr>
        <w:t xml:space="preserve">решением </w:t>
      </w:r>
      <w:r w:rsidR="00EE5EC3" w:rsidRPr="00EE5EC3">
        <w:rPr>
          <w:rFonts w:ascii="Times New Roman" w:hAnsi="Times New Roman" w:cs="Times New Roman"/>
          <w:sz w:val="24"/>
          <w:szCs w:val="24"/>
        </w:rPr>
        <w:t xml:space="preserve">Совета директоров ПАО «Россети Северный Кавказ» </w:t>
      </w:r>
      <w:r w:rsidR="00EE5EC3">
        <w:rPr>
          <w:rFonts w:ascii="Times New Roman" w:hAnsi="Times New Roman" w:cs="Times New Roman"/>
          <w:sz w:val="24"/>
          <w:szCs w:val="24"/>
        </w:rPr>
        <w:t xml:space="preserve">(протокол </w:t>
      </w:r>
      <w:r w:rsidR="00EE5EC3" w:rsidRPr="00EE5EC3">
        <w:rPr>
          <w:rFonts w:ascii="Times New Roman" w:hAnsi="Times New Roman" w:cs="Times New Roman"/>
          <w:sz w:val="24"/>
          <w:szCs w:val="24"/>
        </w:rPr>
        <w:t>от 05.10.2020 №</w:t>
      </w:r>
      <w:r w:rsidR="00EE5EC3">
        <w:rPr>
          <w:rFonts w:ascii="Times New Roman" w:hAnsi="Times New Roman" w:cs="Times New Roman"/>
          <w:sz w:val="24"/>
          <w:szCs w:val="24"/>
        </w:rPr>
        <w:t xml:space="preserve"> </w:t>
      </w:r>
      <w:r w:rsidR="00EE5EC3" w:rsidRPr="00EE5EC3">
        <w:rPr>
          <w:rFonts w:ascii="Times New Roman" w:hAnsi="Times New Roman" w:cs="Times New Roman"/>
          <w:sz w:val="24"/>
          <w:szCs w:val="24"/>
        </w:rPr>
        <w:t>437)</w:t>
      </w:r>
      <w:r w:rsidRPr="00B369F9">
        <w:rPr>
          <w:rFonts w:ascii="Times New Roman" w:hAnsi="Times New Roman" w:cs="Times New Roman"/>
          <w:sz w:val="24"/>
          <w:szCs w:val="24"/>
        </w:rPr>
        <w:t xml:space="preserve">. </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Результаты в области охраны окружающей среды</w:t>
      </w:r>
      <w:r w:rsidR="00B741D9" w:rsidRPr="00B369F9">
        <w:rPr>
          <w:rFonts w:ascii="Times New Roman" w:hAnsi="Times New Roman" w:cs="Times New Roman"/>
          <w:sz w:val="24"/>
          <w:szCs w:val="24"/>
        </w:rPr>
        <w:t>.</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Согласно категоричности объектов негативного воздействия на окружающую среду (объекты НВОС) производственным подразделениям </w:t>
      </w:r>
      <w:r w:rsidR="00B741D9" w:rsidRPr="00B369F9">
        <w:rPr>
          <w:rFonts w:ascii="Times New Roman" w:hAnsi="Times New Roman" w:cs="Times New Roman"/>
          <w:sz w:val="24"/>
          <w:szCs w:val="24"/>
        </w:rPr>
        <w:t>Общества</w:t>
      </w:r>
      <w:r w:rsidRPr="00B369F9">
        <w:rPr>
          <w:rFonts w:ascii="Times New Roman" w:hAnsi="Times New Roman" w:cs="Times New Roman"/>
          <w:sz w:val="24"/>
          <w:szCs w:val="24"/>
        </w:rPr>
        <w:t xml:space="preserve"> присвоена III категория</w:t>
      </w:r>
      <w:r w:rsidR="00621F2E">
        <w:rPr>
          <w:rFonts w:ascii="Times New Roman" w:hAnsi="Times New Roman" w:cs="Times New Roman"/>
          <w:sz w:val="24"/>
          <w:szCs w:val="24"/>
        </w:rPr>
        <w:t xml:space="preserve"> – 19 объектов НВОС</w:t>
      </w:r>
      <w:r w:rsidRPr="00B369F9">
        <w:rPr>
          <w:rFonts w:ascii="Times New Roman" w:hAnsi="Times New Roman" w:cs="Times New Roman"/>
          <w:sz w:val="24"/>
          <w:szCs w:val="24"/>
        </w:rPr>
        <w:t xml:space="preserve">. В соответствии с требованиями законодательства, в </w:t>
      </w:r>
      <w:r w:rsidR="00B741D9" w:rsidRPr="00B369F9">
        <w:rPr>
          <w:rFonts w:ascii="Times New Roman" w:hAnsi="Times New Roman" w:cs="Times New Roman"/>
          <w:sz w:val="24"/>
          <w:szCs w:val="24"/>
        </w:rPr>
        <w:t>Обществе</w:t>
      </w:r>
      <w:r w:rsidRPr="00B369F9">
        <w:rPr>
          <w:rFonts w:ascii="Times New Roman" w:hAnsi="Times New Roman" w:cs="Times New Roman"/>
          <w:sz w:val="24"/>
          <w:szCs w:val="24"/>
        </w:rPr>
        <w:t xml:space="preserve"> разработана и своевременно актуализируется следующая документация:</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1. </w:t>
      </w:r>
      <w:r w:rsidR="00BF21AE" w:rsidRPr="00B369F9">
        <w:rPr>
          <w:rFonts w:ascii="Times New Roman" w:hAnsi="Times New Roman" w:cs="Times New Roman"/>
          <w:sz w:val="24"/>
          <w:szCs w:val="24"/>
        </w:rPr>
        <w:t>Инвентаризация источников выбросов</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2. </w:t>
      </w:r>
      <w:r w:rsidR="00BF21AE" w:rsidRPr="00B369F9">
        <w:rPr>
          <w:rFonts w:ascii="Times New Roman" w:hAnsi="Times New Roman" w:cs="Times New Roman"/>
          <w:sz w:val="24"/>
          <w:szCs w:val="24"/>
        </w:rPr>
        <w:t>Проекты нормативов допустимых выбросов (расчет для загрязняющих веществ I, II класса опасности)</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3. </w:t>
      </w:r>
      <w:r w:rsidR="00BF21AE" w:rsidRPr="00B369F9">
        <w:rPr>
          <w:rFonts w:ascii="Times New Roman" w:hAnsi="Times New Roman" w:cs="Times New Roman"/>
          <w:sz w:val="24"/>
          <w:szCs w:val="24"/>
        </w:rPr>
        <w:t>Программы производственного экологического контроля</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4. </w:t>
      </w:r>
      <w:r w:rsidR="00BF21AE" w:rsidRPr="00B369F9">
        <w:rPr>
          <w:rFonts w:ascii="Times New Roman" w:hAnsi="Times New Roman" w:cs="Times New Roman"/>
          <w:sz w:val="24"/>
          <w:szCs w:val="24"/>
        </w:rPr>
        <w:t>Паспорта отходов</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5. </w:t>
      </w:r>
      <w:r w:rsidR="00BF21AE" w:rsidRPr="00B369F9">
        <w:rPr>
          <w:rFonts w:ascii="Times New Roman" w:hAnsi="Times New Roman" w:cs="Times New Roman"/>
          <w:sz w:val="24"/>
          <w:szCs w:val="24"/>
        </w:rPr>
        <w:t>Журналы движения отходов</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6. </w:t>
      </w:r>
      <w:r w:rsidR="00BF21AE" w:rsidRPr="00B369F9">
        <w:rPr>
          <w:rFonts w:ascii="Times New Roman" w:hAnsi="Times New Roman" w:cs="Times New Roman"/>
          <w:sz w:val="24"/>
          <w:szCs w:val="24"/>
        </w:rPr>
        <w:t>Проекты санитарно-защитных зон</w:t>
      </w:r>
      <w:r w:rsidR="00B741D9" w:rsidRPr="00B369F9">
        <w:rPr>
          <w:rFonts w:ascii="Times New Roman" w:hAnsi="Times New Roman" w:cs="Times New Roman"/>
          <w:sz w:val="24"/>
          <w:szCs w:val="24"/>
        </w:rPr>
        <w:t>;</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7. </w:t>
      </w:r>
      <w:r w:rsidR="00BF21AE" w:rsidRPr="00B369F9">
        <w:rPr>
          <w:rFonts w:ascii="Times New Roman" w:hAnsi="Times New Roman" w:cs="Times New Roman"/>
          <w:sz w:val="24"/>
          <w:szCs w:val="24"/>
        </w:rPr>
        <w:t>Решения об установлении санитарно-защитных зон.</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Осуществляется сдача годовых отчетных форм в уполномоченные государственные органы:</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1. </w:t>
      </w:r>
      <w:r w:rsidR="00BF21AE" w:rsidRPr="00B369F9">
        <w:rPr>
          <w:rFonts w:ascii="Times New Roman" w:hAnsi="Times New Roman" w:cs="Times New Roman"/>
          <w:sz w:val="24"/>
          <w:szCs w:val="24"/>
        </w:rPr>
        <w:t>№ 2 ТП - отходы</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2. </w:t>
      </w:r>
      <w:r w:rsidR="00BF21AE" w:rsidRPr="00B369F9">
        <w:rPr>
          <w:rFonts w:ascii="Times New Roman" w:hAnsi="Times New Roman" w:cs="Times New Roman"/>
          <w:sz w:val="24"/>
          <w:szCs w:val="24"/>
        </w:rPr>
        <w:t>№ 4 – ОС</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3. </w:t>
      </w:r>
      <w:r w:rsidR="00BF21AE" w:rsidRPr="00B369F9">
        <w:rPr>
          <w:rFonts w:ascii="Times New Roman" w:hAnsi="Times New Roman" w:cs="Times New Roman"/>
          <w:sz w:val="24"/>
          <w:szCs w:val="24"/>
        </w:rPr>
        <w:t>Декларация о плате за негативное воздействие на окружающую среду</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4. </w:t>
      </w:r>
      <w:r w:rsidR="00BF21AE" w:rsidRPr="00B369F9">
        <w:rPr>
          <w:rFonts w:ascii="Times New Roman" w:hAnsi="Times New Roman" w:cs="Times New Roman"/>
          <w:sz w:val="24"/>
          <w:szCs w:val="24"/>
        </w:rPr>
        <w:t>Отчет об организации и о результатах осуществления ПЭК.</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Основными источниками загрязнения атмосферного воздуха в </w:t>
      </w:r>
      <w:r w:rsidR="00EE7126" w:rsidRPr="00B369F9">
        <w:rPr>
          <w:rFonts w:ascii="Times New Roman" w:hAnsi="Times New Roman" w:cs="Times New Roman"/>
          <w:sz w:val="24"/>
          <w:szCs w:val="24"/>
        </w:rPr>
        <w:t>Обществе</w:t>
      </w:r>
      <w:r w:rsidRPr="00B369F9">
        <w:rPr>
          <w:rFonts w:ascii="Times New Roman" w:hAnsi="Times New Roman" w:cs="Times New Roman"/>
          <w:sz w:val="24"/>
          <w:szCs w:val="24"/>
        </w:rPr>
        <w:t xml:space="preserve"> являются подразделения гаража, а именно: мастерские, ремонтные боксы, стоянки автотранспорта. В соответствии с программами ПЭК производятся измерения загрязняющих веществ в атмосферном воздухе от источника загрязнения. Превышений ПДК не зарегистрировано. Поскольку концентрации загрязняющих веществ, создаваемые выбросами объектов, на границах ближайших жилых зон и прилегающих территориях не превышают установленные нормативы загрязнения атмосферного воздуха на существующее положение, то мероприятий по уменьшению выбросов загрязняющих веществ не предусмотрено.  Установка шумозащитных экранов не требуется. </w:t>
      </w:r>
    </w:p>
    <w:p w:rsidR="00BF21AE" w:rsidRPr="00B369F9" w:rsidRDefault="00EE7126"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Общество</w:t>
      </w:r>
      <w:r w:rsidR="00BF21AE" w:rsidRPr="00B369F9">
        <w:rPr>
          <w:rFonts w:ascii="Times New Roman" w:hAnsi="Times New Roman" w:cs="Times New Roman"/>
          <w:sz w:val="24"/>
          <w:szCs w:val="24"/>
        </w:rPr>
        <w:t xml:space="preserve"> не имеет </w:t>
      </w:r>
      <w:r w:rsidR="009806F9">
        <w:rPr>
          <w:rFonts w:ascii="Times New Roman" w:hAnsi="Times New Roman" w:cs="Times New Roman"/>
          <w:sz w:val="24"/>
          <w:szCs w:val="24"/>
        </w:rPr>
        <w:t>л</w:t>
      </w:r>
      <w:r w:rsidR="00BF21AE" w:rsidRPr="00B369F9">
        <w:rPr>
          <w:rFonts w:ascii="Times New Roman" w:hAnsi="Times New Roman" w:cs="Times New Roman"/>
          <w:sz w:val="24"/>
          <w:szCs w:val="24"/>
        </w:rPr>
        <w:t>ицензии на осуществление деятельности по обращению с отходами I-IV классов опасности. В этой с</w:t>
      </w:r>
      <w:r w:rsidRPr="00B369F9">
        <w:rPr>
          <w:rFonts w:ascii="Times New Roman" w:hAnsi="Times New Roman" w:cs="Times New Roman"/>
          <w:sz w:val="24"/>
          <w:szCs w:val="24"/>
        </w:rPr>
        <w:t>вязи для утилизации отходов III</w:t>
      </w:r>
      <w:r w:rsidR="00BF21AE" w:rsidRPr="00B369F9">
        <w:rPr>
          <w:rFonts w:ascii="Times New Roman" w:hAnsi="Times New Roman" w:cs="Times New Roman"/>
          <w:sz w:val="24"/>
          <w:szCs w:val="24"/>
        </w:rPr>
        <w:t xml:space="preserve">-IV классов опасности заключены договора с организациями, имеющими </w:t>
      </w:r>
      <w:r w:rsidR="009806F9">
        <w:rPr>
          <w:rFonts w:ascii="Times New Roman" w:hAnsi="Times New Roman" w:cs="Times New Roman"/>
          <w:sz w:val="24"/>
          <w:szCs w:val="24"/>
        </w:rPr>
        <w:t>л</w:t>
      </w:r>
      <w:r w:rsidR="00BF21AE" w:rsidRPr="00B369F9">
        <w:rPr>
          <w:rFonts w:ascii="Times New Roman" w:hAnsi="Times New Roman" w:cs="Times New Roman"/>
          <w:sz w:val="24"/>
          <w:szCs w:val="24"/>
        </w:rPr>
        <w:t>ицензии на обращение с отходами. Для утилиза</w:t>
      </w:r>
      <w:r w:rsidRPr="00B369F9">
        <w:rPr>
          <w:rFonts w:ascii="Times New Roman" w:hAnsi="Times New Roman" w:cs="Times New Roman"/>
          <w:sz w:val="24"/>
          <w:szCs w:val="24"/>
        </w:rPr>
        <w:t>ции, обезвреживания отходов I-</w:t>
      </w:r>
      <w:r w:rsidR="00BF21AE" w:rsidRPr="00B369F9">
        <w:rPr>
          <w:rFonts w:ascii="Times New Roman" w:hAnsi="Times New Roman" w:cs="Times New Roman"/>
          <w:sz w:val="24"/>
          <w:szCs w:val="24"/>
        </w:rPr>
        <w:t xml:space="preserve">II классов опасности заключен договор с ФГУП «Федеральный экологический оператор» (далее </w:t>
      </w:r>
      <w:r w:rsidRPr="00B369F9">
        <w:rPr>
          <w:rFonts w:ascii="Times New Roman" w:hAnsi="Times New Roman" w:cs="Times New Roman"/>
          <w:sz w:val="24"/>
          <w:szCs w:val="24"/>
        </w:rPr>
        <w:t xml:space="preserve">– </w:t>
      </w:r>
      <w:r w:rsidR="00BF21AE" w:rsidRPr="00B369F9">
        <w:rPr>
          <w:rFonts w:ascii="Times New Roman" w:hAnsi="Times New Roman" w:cs="Times New Roman"/>
          <w:sz w:val="24"/>
          <w:szCs w:val="24"/>
        </w:rPr>
        <w:t>ФГУП «ФЭО»).</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Накопление отходов осуществляется в оборудованных местах, соответствующих требованиям законодательства в области санитарно-эпидемиологического благополучия населения с соблюдением Инструкций по организации накопления.</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Накопление твёрдых коммунальных отходов осуществляется в соответствии с правилами обращения с ТКО, утвержденными Правительством </w:t>
      </w:r>
      <w:r w:rsidR="00EE7126" w:rsidRPr="00B369F9">
        <w:rPr>
          <w:rFonts w:ascii="Times New Roman" w:hAnsi="Times New Roman" w:cs="Times New Roman"/>
          <w:sz w:val="24"/>
          <w:szCs w:val="24"/>
        </w:rPr>
        <w:t>Российской Федерации</w:t>
      </w:r>
      <w:r w:rsidRPr="00B369F9">
        <w:rPr>
          <w:rFonts w:ascii="Times New Roman" w:hAnsi="Times New Roman" w:cs="Times New Roman"/>
          <w:sz w:val="24"/>
          <w:szCs w:val="24"/>
        </w:rPr>
        <w:t xml:space="preserve">. </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прошедшем году продолжилось оборудование птицезащитными устройств</w:t>
      </w:r>
      <w:r w:rsidR="00EE7126" w:rsidRPr="00B369F9">
        <w:rPr>
          <w:rFonts w:ascii="Times New Roman" w:hAnsi="Times New Roman" w:cs="Times New Roman"/>
          <w:sz w:val="24"/>
          <w:szCs w:val="24"/>
        </w:rPr>
        <w:t xml:space="preserve">ами электросетевых объектов (ВЛ </w:t>
      </w:r>
      <w:r w:rsidRPr="00B369F9">
        <w:rPr>
          <w:rFonts w:ascii="Times New Roman" w:hAnsi="Times New Roman" w:cs="Times New Roman"/>
          <w:sz w:val="24"/>
          <w:szCs w:val="24"/>
        </w:rPr>
        <w:t>35-110кВ). Проведена замена неизолированного провода на СИП.</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Все трансформаторные подстанции ограждены изгородями и снабжены защитными кожухами, что предотвращает проникновение животных на территорию подстанции и попадание их в узлы и механизмы</w:t>
      </w:r>
    </w:p>
    <w:p w:rsidR="00BF21AE" w:rsidRPr="00B369F9" w:rsidRDefault="00BF21AE" w:rsidP="00B741D9">
      <w:pPr>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Расходы на охрану окружающей среды в 2023 году составили 4 603,24 тыс. руб.</w:t>
      </w:r>
    </w:p>
    <w:p w:rsidR="009E4824" w:rsidRDefault="009E4824" w:rsidP="009E4824">
      <w:pPr>
        <w:spacing w:after="0" w:line="240" w:lineRule="auto"/>
        <w:jc w:val="both"/>
        <w:rPr>
          <w:rFonts w:ascii="Times New Roman" w:hAnsi="Times New Roman" w:cs="Times New Roman"/>
          <w:sz w:val="24"/>
          <w:szCs w:val="24"/>
        </w:rPr>
      </w:pPr>
    </w:p>
    <w:p w:rsidR="00316631" w:rsidRPr="00B369F9" w:rsidRDefault="00316631" w:rsidP="00316631">
      <w:pPr>
        <w:pStyle w:val="1"/>
        <w:ind w:firstLine="709"/>
        <w:rPr>
          <w:b w:val="0"/>
        </w:rPr>
      </w:pPr>
      <w:bookmarkStart w:id="31" w:name="_Toc163738872"/>
      <w:r w:rsidRPr="00B369F9">
        <w:t>Закупочная деятельность</w:t>
      </w:r>
      <w:bookmarkEnd w:id="31"/>
    </w:p>
    <w:p w:rsidR="00316631" w:rsidRPr="00B369F9" w:rsidRDefault="00316631" w:rsidP="00316631">
      <w:pPr>
        <w:tabs>
          <w:tab w:val="left" w:pos="993"/>
        </w:tabs>
        <w:spacing w:after="0" w:line="240" w:lineRule="auto"/>
        <w:ind w:firstLine="709"/>
        <w:jc w:val="both"/>
        <w:rPr>
          <w:rFonts w:ascii="Times New Roman" w:hAnsi="Times New Roman" w:cs="Times New Roman"/>
          <w:b/>
          <w:sz w:val="24"/>
          <w:szCs w:val="24"/>
        </w:rPr>
      </w:pPr>
    </w:p>
    <w:p w:rsidR="001E299B" w:rsidRPr="00B369F9" w:rsidRDefault="001E299B" w:rsidP="001E299B">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lastRenderedPageBreak/>
        <w:t>Закупочная деятельность Общества регламентируется Единым стандартом закупочной деятельности ПАО «Россети» (Положение о закупке), утвержденным Советом директоров Общества (09.01.2020 № 211), приказом ПАО «МРСК Северного Кавказа» от 17.06.2019 № 330 «Об организации закупочной деятельности».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Процедурная регламентация закупок применяется в целях обеспечения целевого и эффективного расходования денежных средств Общества, а также получения экономически обоснованных затрат и предотвращения возможных злоупотреблений со стороны Заказчика (Организатора закупки).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Основными принципами построения закупочной деятельности являются:</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a) своевременное (долгосрочное и краткосрочное) планирование закупочной деятельности, обеспечение возможности оперативного принятия решений о корректировке параметров закупок (когда это необходимо);</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б) равноправие, справедливость, отсутствие дискриминации и необоснованных ограничений конкуренции по отношению к участникам закупки;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целевое и экономически эффективное расходование денежных средств на приобретение товаров, работ, услуг и реализация мер, направленных на сокращение издержек заказчика;</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г) отсутствие ограничения допуска к участию в закупке путем установления неизмеряемых требований к участникам закупки;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д) обеспечение открытости закупочной деятельности;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и) честный и разумный выбор наиболее предпочтительных предложений при комплексном анализе выгод и издержек (прежде всего цены и качества продукции);</w:t>
      </w:r>
    </w:p>
    <w:p w:rsidR="001E299B" w:rsidRPr="00B369F9" w:rsidRDefault="004A7D9F"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          </w:t>
      </w:r>
      <w:r w:rsidR="001E299B" w:rsidRPr="00B369F9">
        <w:rPr>
          <w:rFonts w:ascii="Times New Roman" w:eastAsia="Times New Roman" w:hAnsi="Times New Roman" w:cs="Times New Roman"/>
          <w:sz w:val="24"/>
          <w:szCs w:val="24"/>
          <w:lang w:eastAsia="ru-RU"/>
        </w:rPr>
        <w:t>й) соблюдение норм действующего законодательства, регламентирующего организацию закупочной деятельности.</w:t>
      </w:r>
    </w:p>
    <w:p w:rsidR="001E299B" w:rsidRPr="00B369F9" w:rsidRDefault="001E299B" w:rsidP="001E299B">
      <w:pPr>
        <w:spacing w:after="0" w:line="240" w:lineRule="auto"/>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ab/>
        <w:t xml:space="preserve"> Закупочная процедура может иметь несколько способов проведения:</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Конкурс. Данный вид процедуры проводится для привлечения заявок и выбора наиболее подходящего пути удовлетворения потребностей Заказчика.</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 Аукцион. </w:t>
      </w:r>
      <w:r w:rsidRPr="00B369F9">
        <w:rPr>
          <w:rFonts w:ascii="Times New Roman" w:eastAsia="Times New Roman" w:hAnsi="Times New Roman" w:cs="Times New Roman"/>
          <w:sz w:val="24"/>
          <w:szCs w:val="24"/>
          <w:lang w:eastAsia="ru-RU"/>
        </w:rPr>
        <w:tab/>
        <w:t>Аукцион проводится при закупках продукции, для которой существует конкурентный рынок производителей продукции и относительно которой инициатором закупки сформулированы подробные требования в форме технического задания. ЦЗО ПАО «Россети» вправе определить перечень продукции, закупаемой только по результатам проведения аукциона.</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Запрос предложений. Проводится в случае, если отсутствует необходимость немедленного проведения процедуры закупки, как у единственного источника и сложность продукции или условий ее поставки не допускают проведения аукциона, запроса цен; в случае, если Заказчику необходима возможность отказа от закупки или заключения договора и, в случае, если начальная (максимальная) цена договора не превышает 10 млн руб</w:t>
      </w:r>
      <w:r w:rsidR="00F14FAB" w:rsidRPr="00B369F9">
        <w:rPr>
          <w:rFonts w:ascii="Times New Roman" w:eastAsia="Times New Roman" w:hAnsi="Times New Roman" w:cs="Times New Roman"/>
          <w:sz w:val="24"/>
          <w:szCs w:val="24"/>
          <w:lang w:eastAsia="ru-RU"/>
        </w:rPr>
        <w:t>.</w:t>
      </w:r>
      <w:r w:rsidRPr="00B369F9">
        <w:rPr>
          <w:rFonts w:ascii="Times New Roman" w:eastAsia="Times New Roman" w:hAnsi="Times New Roman" w:cs="Times New Roman"/>
          <w:sz w:val="24"/>
          <w:szCs w:val="24"/>
          <w:lang w:eastAsia="ru-RU"/>
        </w:rPr>
        <w:t xml:space="preserve"> (с налогом на добавленную стоимость)</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 Запрос котировок. Применение запроса цен может осуществляться при закупках простой продукции, для которой существует функционирующий рынок, единственным критерием является цена и при условии, что цена договора не превышает для открытого запроса цен 5 млн руб. (с </w:t>
      </w:r>
      <w:r w:rsidR="005C7D59">
        <w:rPr>
          <w:rFonts w:ascii="Times New Roman" w:eastAsia="Times New Roman" w:hAnsi="Times New Roman" w:cs="Times New Roman"/>
          <w:sz w:val="24"/>
          <w:szCs w:val="24"/>
          <w:lang w:eastAsia="ru-RU"/>
        </w:rPr>
        <w:t>НДС</w:t>
      </w:r>
      <w:r w:rsidRPr="00B369F9">
        <w:rPr>
          <w:rFonts w:ascii="Times New Roman" w:eastAsia="Times New Roman" w:hAnsi="Times New Roman" w:cs="Times New Roman"/>
          <w:sz w:val="24"/>
          <w:szCs w:val="24"/>
          <w:lang w:eastAsia="ru-RU"/>
        </w:rPr>
        <w:t>).</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Сравнение цен проводится при наличии однозначно сформулированных технических требований к закупаемой продукции, в том числе, когда определены функциональные характеристики (потребительские свойства) товара, размеры, упаковка, отгрузка товара, установлены конкретные требования к результатам работы (услуги) в форме технического задания, нет времени для проведения иной конкурентной закупки; (</w:t>
      </w:r>
      <w:bookmarkStart w:id="32" w:name="_Ref310503987"/>
      <w:r w:rsidRPr="00B369F9">
        <w:rPr>
          <w:rFonts w:ascii="Times New Roman" w:eastAsia="Times New Roman" w:hAnsi="Times New Roman" w:cs="Times New Roman"/>
          <w:sz w:val="24"/>
          <w:szCs w:val="24"/>
          <w:lang w:eastAsia="ru-RU"/>
        </w:rPr>
        <w:t xml:space="preserve">закупки способом сравнения цен осуществляются при сумме до 100 000 руб. с НДС.) </w:t>
      </w:r>
      <w:bookmarkEnd w:id="32"/>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Закупка у единственного поставщика</w:t>
      </w:r>
      <w:r w:rsidRPr="00B369F9">
        <w:rPr>
          <w:rFonts w:ascii="Times New Roman" w:eastAsia="Times New Roman" w:hAnsi="Times New Roman" w:cs="Times New Roman"/>
          <w:b/>
          <w:sz w:val="24"/>
          <w:szCs w:val="24"/>
          <w:lang w:eastAsia="ru-RU"/>
        </w:rPr>
        <w:t>.</w:t>
      </w:r>
      <w:r w:rsidRPr="00B369F9">
        <w:rPr>
          <w:rFonts w:ascii="Times New Roman" w:eastAsia="Times New Roman" w:hAnsi="Times New Roman" w:cs="Times New Roman"/>
          <w:sz w:val="24"/>
          <w:szCs w:val="24"/>
          <w:lang w:eastAsia="ru-RU"/>
        </w:rPr>
        <w:t xml:space="preserve"> Используется в случае, если необходима закупка уникальных товаров;  если продукция может быть получена только от одного поставщика и отсутствует ее равноценная замена; в случае, если возникла необходимость </w:t>
      </w:r>
      <w:r w:rsidRPr="00B369F9">
        <w:rPr>
          <w:rFonts w:ascii="Times New Roman" w:eastAsia="Times New Roman" w:hAnsi="Times New Roman" w:cs="Times New Roman"/>
          <w:sz w:val="24"/>
          <w:szCs w:val="24"/>
          <w:lang w:eastAsia="ru-RU"/>
        </w:rPr>
        <w:lastRenderedPageBreak/>
        <w:t>дополнительной закупки, совершаемой путем пролонгации договоров,  в случае, когда договор заключался по результатам конкурентной закупки и возможность пролонгации была предусмотрена в документации о закупке;  в случае, если по решению ЦЗО Заказчика закупка может производиться путем участия Заказчика в аукционах, конкурсах или иных процедурах, организуемых продавцами продукции.</w:t>
      </w:r>
    </w:p>
    <w:p w:rsidR="001E299B" w:rsidRPr="00B369F9" w:rsidRDefault="001E299B" w:rsidP="004A7D9F">
      <w:pPr>
        <w:spacing w:after="0" w:line="240" w:lineRule="auto"/>
        <w:ind w:firstLine="540"/>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Согласно п.3 Единого стандарта закупок информация, о проводимых регламентированных процедурах и отчет об их итогах размещаются  на официальном сайте </w:t>
      </w:r>
      <w:hyperlink r:id="rId34" w:history="1">
        <w:r w:rsidRPr="00B369F9">
          <w:rPr>
            <w:rFonts w:ascii="Times New Roman" w:eastAsia="Times New Roman" w:hAnsi="Times New Roman" w:cs="Times New Roman"/>
            <w:color w:val="0000FF"/>
            <w:sz w:val="24"/>
            <w:szCs w:val="24"/>
            <w:u w:val="single"/>
            <w:lang w:eastAsia="ru-RU"/>
          </w:rPr>
          <w:t>www.zakupki.gov.ru</w:t>
        </w:r>
      </w:hyperlink>
      <w:r w:rsidRPr="00B369F9">
        <w:rPr>
          <w:rFonts w:ascii="Times New Roman" w:eastAsia="Times New Roman" w:hAnsi="Times New Roman" w:cs="Times New Roman"/>
          <w:sz w:val="24"/>
          <w:szCs w:val="24"/>
          <w:lang w:eastAsia="ru-RU"/>
        </w:rPr>
        <w:t>.</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По факту за период была проведено 78 закупок на общую сумму 1 142 009,55 тыс. руб. без НДС.</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том числе по способам закупок:</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7 шт. закупок (конкурс (открытый конкурс, конкурс в электронной форме, закрытый конкурс в электронной форме, закрытый конкурс в неэлектронной форме)) на сумму 136 510,36 тыс. руб. с НДС (10,8 % от общего количества закупок, 35,3 %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6 шт. закупок (ЗЦ по результатам КПО) на сумму 86 530,90 тыс. руб. с НДС (19,6 % от общего количества закупок, 11,0 %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2 шт. закупок (запрос предложений (запрос предложений в электронной форме, закрытый запрос предложений в электронной форме, закрытый запрос предложений в неэлектронной форме)) на сумму 4 828,22 тыс. руб. с НДС (5,4 % от общего количества закупок, 2,1</w:t>
      </w:r>
      <w:r w:rsidR="005C7D59">
        <w:rPr>
          <w:rFonts w:ascii="Times New Roman" w:eastAsia="Times New Roman" w:hAnsi="Times New Roman" w:cs="Times New Roman"/>
          <w:sz w:val="24"/>
          <w:szCs w:val="24"/>
          <w:lang w:eastAsia="ru-RU"/>
        </w:rPr>
        <w:t xml:space="preserve"> </w:t>
      </w:r>
      <w:r w:rsidRPr="00B369F9">
        <w:rPr>
          <w:rFonts w:ascii="Times New Roman" w:eastAsia="Times New Roman" w:hAnsi="Times New Roman" w:cs="Times New Roman"/>
          <w:sz w:val="24"/>
          <w:szCs w:val="24"/>
          <w:lang w:eastAsia="ru-RU"/>
        </w:rPr>
        <w:t>%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8 шт. закупок (запрос котировок (запрос котировок в электронной форме, закрытый запрос котировок в электронной форме, закрытый запрос котировок в неэлектронной форме)) на сумму 12 338,52 тыс. руб. с НДС (1,9 % от общего количества закупок, 0,4 %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57 шт. закупок у единственного поставщика по результатам несостоявшихся открытых процедур 965 757,84 тыс. руб. с НДС (23,6 % от общего количества закупок, 39,1 %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из них процедуры только с одним участником (одна поданная заявка) 960 165,05 тыс. руб. с НДС (49,8 % от объема закупок по результатам несостоявшихся открытых процедур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из них процедуры только с одним квалифицированным участником (одна заявка удовлетворят условиям ТЗ, заявки других участников отклонены) 5 592,79 тыс. руб. с НДС (50,2 % от объема закупок по результатам несостоявшихся открытых процедур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том числе по видам деятельности: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«Реконструкция и техническое перевооружение электросетевых объектов» – 16 шт. закупок на сумму 707 008,78 тыс. руб. с НДС (27,9 % от общего количества закупок, 20,9 %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«Энергоремонтное (ремонтное) производство, техническое обслуживание» – 42 шт. закупок на сумму 302 453,88 тыс. руб. с НДС (15,5 % от общего количества закупок, 11,8 %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«ИТ-закупки» – 5 шт. закупок на сумму 12 764,99 тыс. руб. с НДС (3,7 % от общего количества закупок, 3,1 %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 xml:space="preserve"> - «Прочие закупки» – 12 шт. закупки на сумму 24 209,92 тыс. руб. с НДС (33,9 % от общего количества закупок, 50,6 % от общего объема закупок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Количество закупок с использованием средств электронной коммерции составило 103 закупки на сумму 4 608 063,45 тыс. руб. без НДС (88,00 % от общего количества закупок, 91,10 % от общего объема закупок (без учета закупок у единственного источника) в стоимостном выражении.</w:t>
      </w:r>
    </w:p>
    <w:p w:rsidR="001E299B" w:rsidRPr="00B369F9" w:rsidRDefault="001E299B" w:rsidP="004A7D9F">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lastRenderedPageBreak/>
        <w:t>Сведения о количестве и общей стоимости договоров, заключенных по результатам закупок у субъектов МСП за отчетный период:</w:t>
      </w:r>
    </w:p>
    <w:tbl>
      <w:tblPr>
        <w:tblW w:w="9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83"/>
        <w:gridCol w:w="1418"/>
        <w:gridCol w:w="1843"/>
        <w:gridCol w:w="2268"/>
        <w:gridCol w:w="1842"/>
      </w:tblGrid>
      <w:tr w:rsidR="001E299B" w:rsidRPr="004D05C9" w:rsidTr="009E4824">
        <w:trPr>
          <w:trHeight w:val="444"/>
        </w:trPr>
        <w:tc>
          <w:tcPr>
            <w:tcW w:w="2283"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jc w:val="center"/>
              <w:textAlignment w:val="bottom"/>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Название</w:t>
            </w:r>
          </w:p>
        </w:tc>
        <w:tc>
          <w:tcPr>
            <w:tcW w:w="1418"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Количество договоров</w:t>
            </w:r>
          </w:p>
        </w:tc>
        <w:tc>
          <w:tcPr>
            <w:tcW w:w="1843"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Стоимость договоров (тыс. руб. с НДС)</w:t>
            </w:r>
          </w:p>
        </w:tc>
        <w:tc>
          <w:tcPr>
            <w:tcW w:w="2268"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Стоимостной объем оплаты в рамках заключенных договоров (тыс. руб. с НДС)*</w:t>
            </w:r>
          </w:p>
        </w:tc>
        <w:tc>
          <w:tcPr>
            <w:tcW w:w="1842"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 от заключенных и оплаченных договоров*</w:t>
            </w:r>
          </w:p>
        </w:tc>
      </w:tr>
      <w:tr w:rsidR="001E299B" w:rsidRPr="004D05C9" w:rsidTr="009E4824">
        <w:trPr>
          <w:trHeight w:val="302"/>
        </w:trPr>
        <w:tc>
          <w:tcPr>
            <w:tcW w:w="2283"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Закупки у субъектов МСП</w:t>
            </w:r>
          </w:p>
        </w:tc>
        <w:tc>
          <w:tcPr>
            <w:tcW w:w="1418"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83</w:t>
            </w:r>
          </w:p>
        </w:tc>
        <w:tc>
          <w:tcPr>
            <w:tcW w:w="1843"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3</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686</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363,00</w:t>
            </w:r>
          </w:p>
        </w:tc>
        <w:tc>
          <w:tcPr>
            <w:tcW w:w="2268"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2</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153</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663,063</w:t>
            </w:r>
          </w:p>
        </w:tc>
        <w:tc>
          <w:tcPr>
            <w:tcW w:w="1842"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71</w:t>
            </w:r>
          </w:p>
        </w:tc>
      </w:tr>
      <w:tr w:rsidR="001E299B" w:rsidRPr="004D05C9" w:rsidTr="009E4824">
        <w:trPr>
          <w:trHeight w:val="394"/>
        </w:trPr>
        <w:tc>
          <w:tcPr>
            <w:tcW w:w="2283" w:type="dxa"/>
            <w:shd w:val="clear" w:color="auto" w:fill="auto"/>
            <w:tcMar>
              <w:top w:w="15" w:type="dxa"/>
              <w:left w:w="15" w:type="dxa"/>
              <w:bottom w:w="0" w:type="dxa"/>
              <w:right w:w="15" w:type="dxa"/>
            </w:tcMar>
            <w:vAlign w:val="center"/>
            <w:hideMark/>
          </w:tcPr>
          <w:p w:rsidR="001E299B" w:rsidRPr="004D05C9" w:rsidRDefault="001E299B" w:rsidP="001E299B">
            <w:pPr>
              <w:spacing w:after="0" w:line="240" w:lineRule="auto"/>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в том числе закупки только среди субъектов МСП («спецторги»)</w:t>
            </w:r>
          </w:p>
        </w:tc>
        <w:tc>
          <w:tcPr>
            <w:tcW w:w="1418"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43</w:t>
            </w:r>
          </w:p>
        </w:tc>
        <w:tc>
          <w:tcPr>
            <w:tcW w:w="1843"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1</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155</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732,61</w:t>
            </w:r>
          </w:p>
        </w:tc>
        <w:tc>
          <w:tcPr>
            <w:tcW w:w="2268"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875</w:t>
            </w:r>
            <w:r w:rsidR="004A7D9F" w:rsidRPr="004D05C9">
              <w:rPr>
                <w:rFonts w:ascii="Times New Roman" w:eastAsia="Times New Roman" w:hAnsi="Times New Roman" w:cs="Times New Roman"/>
                <w:sz w:val="20"/>
                <w:szCs w:val="24"/>
                <w:lang w:eastAsia="ru-RU"/>
              </w:rPr>
              <w:t xml:space="preserve"> </w:t>
            </w:r>
            <w:r w:rsidRPr="004D05C9">
              <w:rPr>
                <w:rFonts w:ascii="Times New Roman" w:eastAsia="Times New Roman" w:hAnsi="Times New Roman" w:cs="Times New Roman"/>
                <w:sz w:val="20"/>
                <w:szCs w:val="24"/>
                <w:lang w:eastAsia="ru-RU"/>
              </w:rPr>
              <w:t>656,23</w:t>
            </w:r>
          </w:p>
        </w:tc>
        <w:tc>
          <w:tcPr>
            <w:tcW w:w="1842" w:type="dxa"/>
            <w:shd w:val="clear" w:color="auto" w:fill="auto"/>
            <w:tcMar>
              <w:top w:w="15" w:type="dxa"/>
              <w:left w:w="15" w:type="dxa"/>
              <w:bottom w:w="0" w:type="dxa"/>
              <w:right w:w="15" w:type="dxa"/>
            </w:tcMar>
            <w:vAlign w:val="center"/>
          </w:tcPr>
          <w:p w:rsidR="001E299B" w:rsidRPr="004D05C9" w:rsidRDefault="001E299B" w:rsidP="001E299B">
            <w:pPr>
              <w:spacing w:after="0" w:line="240" w:lineRule="auto"/>
              <w:jc w:val="center"/>
              <w:textAlignment w:val="center"/>
              <w:rPr>
                <w:rFonts w:ascii="Times New Roman" w:eastAsia="Times New Roman" w:hAnsi="Times New Roman" w:cs="Times New Roman"/>
                <w:sz w:val="20"/>
                <w:szCs w:val="24"/>
                <w:lang w:eastAsia="ru-RU"/>
              </w:rPr>
            </w:pPr>
            <w:r w:rsidRPr="004D05C9">
              <w:rPr>
                <w:rFonts w:ascii="Times New Roman" w:eastAsia="Times New Roman" w:hAnsi="Times New Roman" w:cs="Times New Roman"/>
                <w:sz w:val="20"/>
                <w:szCs w:val="24"/>
                <w:lang w:eastAsia="ru-RU"/>
              </w:rPr>
              <w:t>29</w:t>
            </w:r>
          </w:p>
        </w:tc>
      </w:tr>
    </w:tbl>
    <w:p w:rsidR="001E299B" w:rsidRPr="003B4A0C" w:rsidRDefault="001E299B" w:rsidP="001E299B">
      <w:pPr>
        <w:spacing w:after="0" w:line="240" w:lineRule="auto"/>
        <w:jc w:val="both"/>
        <w:rPr>
          <w:rFonts w:ascii="Times New Roman" w:eastAsia="Times New Roman" w:hAnsi="Times New Roman" w:cs="Times New Roman"/>
          <w:sz w:val="20"/>
          <w:szCs w:val="24"/>
          <w:lang w:eastAsia="ru-RU"/>
        </w:rPr>
      </w:pPr>
      <w:r w:rsidRPr="003B4A0C">
        <w:rPr>
          <w:rFonts w:ascii="Times New Roman" w:eastAsia="Times New Roman" w:hAnsi="Times New Roman" w:cs="Times New Roman"/>
          <w:sz w:val="20"/>
          <w:szCs w:val="24"/>
          <w:lang w:eastAsia="ru-RU"/>
        </w:rPr>
        <w:t>* данные формируются в соответствии с требованиями Постановления Правительства Российской Федерации от 11.12.2014 № 1352.</w:t>
      </w:r>
    </w:p>
    <w:p w:rsidR="001E299B" w:rsidRPr="00B369F9" w:rsidRDefault="001E299B" w:rsidP="001E299B">
      <w:pPr>
        <w:spacing w:after="0" w:line="240" w:lineRule="auto"/>
        <w:ind w:firstLine="540"/>
        <w:jc w:val="both"/>
        <w:rPr>
          <w:rFonts w:ascii="Times New Roman" w:eastAsia="Times New Roman" w:hAnsi="Times New Roman" w:cs="Times New Roman"/>
          <w:sz w:val="24"/>
          <w:szCs w:val="24"/>
          <w:lang w:eastAsia="ru-RU"/>
        </w:rPr>
      </w:pPr>
    </w:p>
    <w:p w:rsidR="001E299B" w:rsidRPr="00B369F9" w:rsidRDefault="001E299B" w:rsidP="001E299B">
      <w:pPr>
        <w:spacing w:after="0" w:line="240" w:lineRule="auto"/>
        <w:ind w:firstLine="708"/>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Экономический эффект по итогам проведения закупочных процедур за период составил 6 265,00 тыс. руб. с НДС</w:t>
      </w:r>
      <w:r w:rsidR="005C7D59">
        <w:rPr>
          <w:rFonts w:ascii="Times New Roman" w:eastAsia="Times New Roman" w:hAnsi="Times New Roman" w:cs="Times New Roman"/>
          <w:sz w:val="24"/>
          <w:szCs w:val="24"/>
          <w:lang w:eastAsia="ru-RU"/>
        </w:rPr>
        <w:t>,</w:t>
      </w:r>
      <w:r w:rsidRPr="00B369F9">
        <w:rPr>
          <w:rFonts w:ascii="Times New Roman" w:eastAsia="Times New Roman" w:hAnsi="Times New Roman" w:cs="Times New Roman"/>
          <w:sz w:val="24"/>
          <w:szCs w:val="24"/>
          <w:lang w:eastAsia="ru-RU"/>
        </w:rPr>
        <w:t xml:space="preserve"> или 3 % от плановой объявленной стоимости закупок.</w:t>
      </w:r>
    </w:p>
    <w:p w:rsidR="001E299B" w:rsidRPr="00B369F9" w:rsidRDefault="001E299B" w:rsidP="00316631">
      <w:pPr>
        <w:tabs>
          <w:tab w:val="left" w:pos="993"/>
        </w:tabs>
        <w:spacing w:after="0" w:line="240" w:lineRule="auto"/>
        <w:ind w:firstLine="709"/>
        <w:jc w:val="both"/>
        <w:rPr>
          <w:rFonts w:ascii="Times New Roman" w:hAnsi="Times New Roman" w:cs="Times New Roman"/>
          <w:sz w:val="24"/>
          <w:szCs w:val="24"/>
        </w:rPr>
      </w:pPr>
    </w:p>
    <w:p w:rsidR="00316631" w:rsidRPr="00B369F9" w:rsidRDefault="00316631" w:rsidP="00316631">
      <w:pPr>
        <w:tabs>
          <w:tab w:val="left" w:pos="709"/>
          <w:tab w:val="left" w:pos="993"/>
        </w:tabs>
        <w:spacing w:after="0" w:line="240" w:lineRule="auto"/>
        <w:ind w:firstLine="709"/>
        <w:rPr>
          <w:rFonts w:ascii="Times New Roman" w:eastAsia="Times New Roman" w:hAnsi="Times New Roman" w:cs="Times New Roman"/>
          <w:b/>
          <w:sz w:val="24"/>
          <w:szCs w:val="24"/>
          <w:lang w:eastAsia="ar-SA"/>
        </w:rPr>
      </w:pPr>
      <w:r w:rsidRPr="00B369F9">
        <w:rPr>
          <w:rFonts w:ascii="Times New Roman" w:eastAsia="Times New Roman" w:hAnsi="Times New Roman" w:cs="Times New Roman"/>
          <w:b/>
          <w:sz w:val="24"/>
          <w:szCs w:val="24"/>
          <w:lang w:eastAsia="ar-SA"/>
        </w:rPr>
        <w:t>Антикоррупционная политика</w:t>
      </w:r>
    </w:p>
    <w:p w:rsidR="00316631" w:rsidRPr="00B369F9" w:rsidRDefault="00316631" w:rsidP="00316631">
      <w:pPr>
        <w:tabs>
          <w:tab w:val="left" w:pos="709"/>
          <w:tab w:val="left" w:pos="993"/>
        </w:tabs>
        <w:spacing w:after="0" w:line="240" w:lineRule="auto"/>
        <w:ind w:firstLine="709"/>
        <w:jc w:val="center"/>
        <w:rPr>
          <w:rFonts w:ascii="Times New Roman" w:eastAsia="Times New Roman" w:hAnsi="Times New Roman" w:cs="Times New Roman"/>
          <w:b/>
          <w:sz w:val="24"/>
          <w:szCs w:val="24"/>
          <w:lang w:eastAsia="ar-SA"/>
        </w:rPr>
      </w:pP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В соответствии со ст. 13.3 Федерального закона от 25 декабря 2008 г. № 273-ФЗ «О противодействии коррупции» в Обществе осуществляется комплекс мер и задач, направленных на предупреждение и противодействие коррупции.</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В Общества осуществляется постоянный контроль и регулярный мониторинг эффективности внедренных антикоррупционных стандартов и процедур, а также контроль их исполнения. 11.07.2023 Советом директоров Общества утверждена Антикоррупционная политика ПАО «Россети» и ДЗО ПАО «Россети» (протокол от 11.07.2023 № 306). </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Реализация положений и требований Антикоррупционной политики в отчетном периоде осуществлялась в рамках Перечня антикоррупционных мероприятий в Обществе и Плана мероприятий по профилактике и противодействию коррупции ПАО «Россети Северный Кавказ» и управляемых Обществ на 2023 год (приложение к приказу ПАО «Россети Северный Кавказ» от 13.02.2023 № 47). </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В рамках выполнения задачи по ежегодному декларированию конфликта интересов в I полугодии 2023 года проведена кампания по ежегодному декларированию конфликта интересов работников административно-управленческого персонала Общества за 2022 год. Всего продекларировано 244 работника. В ходе декларирования предконфликтных ситуаций/конфликта не выявлены. </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С целью исключения личной заинтересованности работников (кандидатов) при реализации ими трудовых функций и принятии деловых решений, а также выявления, предотвращения и урегулирования конфликта интересов, в отчетном периоде осуществлялась работа по проверке деклараций конфликта интересов кандидатов на работу в Общество. Проверен 351 кандидат на работу.</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В Обществе действует приказ от 06.08.2021 № 334, утверждающий Порядок приема, рассмотрения и разрешения обращений заявителей (работников, контрагентов Общества, иных физических и юридических лиц) о возможных фактах коррупции (далее – Порядок). Порядок определяет единый механизм по организации приема, рассмотрения и разрешения обращений работников ПАО «Россети Северный Кавказ» и управляемых Обществ, контрагентов и иных физических и юридических лиц о возможных фактах коррупции, а также регламентирует решение задач проверки возможных фактов коррупции и выработку соответствующих мероприятий по пресечению коррупционных правонарушений. Порядком предусмотрены доступные для всех лиц способы направления обращений, а также предварительное рассмотрение, сроки и контроль рассмотрения, форму ведения Журнала регистрации и учета обращений заявителей по возможным фактам коррупции в Обществе. </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lastRenderedPageBreak/>
        <w:t>С целью совершенствования правового регулирования антикоррупционной деятельности Общества, формирования единого подхода к обеспечению работы по предупреждению и противодействию коррупции ПАО «Россети Северный Кавказ» разработаны и распространены на управляемые Общества организационно-распорядительные документы, регламентирующие некоторые направления работы:</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13.02.2023 № 47 «Об утверждении Плана противодействия коррупции в ПАО «Россети Северный Кавказ» и управляемых Обществах на 2023 год»;</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14.02.2023 № 49 «Об исполнении Кодекса корпоративной этики»;</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11.04.2023 № 150 «О внесении изменений в приказ от 06.08.2021 № 334»;</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16.06.2023 № 247 «Об утверждении Положения о сообщении работниками ПАО «Россети Северный Кавказ» и управляемых Обществ о получении делового подарка и Правил обмена деловыми подарками и знаками делового гостеприимства в ПАО «Россети Северный Кавказ» и управляемых Обществ»;</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29.08.2023 №378 «Об утверждении Порядка организации управления рисками и внутреннего контроля в области предупреждения коррупции и неправомерных действий в ПАО «Россети Северный Кавказ» и управляемых Обществах»;</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приказ от 24.10.2023 № 508 «О проведении анонимного анкетирования».</w:t>
      </w:r>
    </w:p>
    <w:p w:rsidR="00CA79E0"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Указанные организационно-распорядительные документы в достаточной степени дают возможность Обществу осуществлять антикоррупционную деятельность, оценивать состояние работы, корректировать и совершенствовать </w:t>
      </w:r>
      <w:r w:rsidR="009806F9">
        <w:rPr>
          <w:rFonts w:ascii="Times New Roman" w:eastAsia="Calibri" w:hAnsi="Times New Roman" w:cs="Times New Roman"/>
          <w:color w:val="000000"/>
          <w:sz w:val="24"/>
          <w:szCs w:val="24"/>
        </w:rPr>
        <w:t xml:space="preserve">ее </w:t>
      </w:r>
      <w:r w:rsidRPr="00B369F9">
        <w:rPr>
          <w:rFonts w:ascii="Times New Roman" w:eastAsia="Calibri" w:hAnsi="Times New Roman" w:cs="Times New Roman"/>
          <w:color w:val="000000"/>
          <w:sz w:val="24"/>
          <w:szCs w:val="24"/>
        </w:rPr>
        <w:t xml:space="preserve">в повседневной деятельности, в </w:t>
      </w:r>
      <w:r w:rsidR="009806F9">
        <w:rPr>
          <w:rFonts w:ascii="Times New Roman" w:eastAsia="Calibri" w:hAnsi="Times New Roman" w:cs="Times New Roman"/>
          <w:color w:val="000000"/>
          <w:sz w:val="24"/>
          <w:szCs w:val="24"/>
        </w:rPr>
        <w:t xml:space="preserve">том числе в </w:t>
      </w:r>
      <w:r w:rsidRPr="00B369F9">
        <w:rPr>
          <w:rFonts w:ascii="Times New Roman" w:eastAsia="Calibri" w:hAnsi="Times New Roman" w:cs="Times New Roman"/>
          <w:color w:val="000000"/>
          <w:sz w:val="24"/>
          <w:szCs w:val="24"/>
        </w:rPr>
        <w:t xml:space="preserve">рамках Российского </w:t>
      </w:r>
      <w:r w:rsidR="00600D0D" w:rsidRPr="00B369F9">
        <w:rPr>
          <w:rFonts w:ascii="Times New Roman" w:eastAsia="Calibri" w:hAnsi="Times New Roman" w:cs="Times New Roman"/>
          <w:color w:val="000000"/>
          <w:sz w:val="24"/>
          <w:szCs w:val="24"/>
        </w:rPr>
        <w:t>з</w:t>
      </w:r>
      <w:r w:rsidRPr="00B369F9">
        <w:rPr>
          <w:rFonts w:ascii="Times New Roman" w:eastAsia="Calibri" w:hAnsi="Times New Roman" w:cs="Times New Roman"/>
          <w:color w:val="000000"/>
          <w:sz w:val="24"/>
          <w:szCs w:val="24"/>
        </w:rPr>
        <w:t>аконодательства.</w:t>
      </w:r>
    </w:p>
    <w:p w:rsidR="00316631" w:rsidRPr="00B369F9" w:rsidRDefault="00CA79E0" w:rsidP="00CA79E0">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r w:rsidRPr="00B369F9">
        <w:rPr>
          <w:rFonts w:ascii="Times New Roman" w:eastAsia="Calibri" w:hAnsi="Times New Roman" w:cs="Times New Roman"/>
          <w:color w:val="000000"/>
          <w:sz w:val="24"/>
          <w:szCs w:val="24"/>
        </w:rPr>
        <w:t xml:space="preserve">В целях выполнения задач по профилактике и противодействию коррупции, особое внимание уделяется организации работы по осуществлению контроля за исполнением указаний руководства Общества в области противодействия коррупции, мониторинг внедренных процедур с целью оценки эффективности, взаимодействие со структурными подразделениями </w:t>
      </w:r>
      <w:r w:rsidR="00600D0D" w:rsidRPr="00B369F9">
        <w:rPr>
          <w:rFonts w:ascii="Times New Roman" w:eastAsia="Calibri" w:hAnsi="Times New Roman" w:cs="Times New Roman"/>
          <w:color w:val="000000"/>
          <w:sz w:val="24"/>
          <w:szCs w:val="24"/>
        </w:rPr>
        <w:t>Общества</w:t>
      </w:r>
      <w:r w:rsidRPr="00B369F9">
        <w:rPr>
          <w:rFonts w:ascii="Times New Roman" w:eastAsia="Calibri" w:hAnsi="Times New Roman" w:cs="Times New Roman"/>
          <w:color w:val="000000"/>
          <w:sz w:val="24"/>
          <w:szCs w:val="24"/>
        </w:rPr>
        <w:t>, правоохранительными органами и органами власти.</w:t>
      </w:r>
    </w:p>
    <w:p w:rsidR="00CA79E0" w:rsidRDefault="00CA79E0" w:rsidP="00316631">
      <w:pPr>
        <w:autoSpaceDE w:val="0"/>
        <w:autoSpaceDN w:val="0"/>
        <w:adjustRightInd w:val="0"/>
        <w:spacing w:after="0" w:line="240" w:lineRule="auto"/>
        <w:ind w:firstLine="709"/>
        <w:jc w:val="both"/>
        <w:rPr>
          <w:rFonts w:ascii="Times New Roman" w:eastAsia="Calibri" w:hAnsi="Times New Roman" w:cs="Times New Roman"/>
          <w:color w:val="000000"/>
          <w:sz w:val="24"/>
          <w:szCs w:val="24"/>
        </w:rPr>
      </w:pPr>
    </w:p>
    <w:p w:rsidR="00316631" w:rsidRPr="00B369F9" w:rsidRDefault="00316631" w:rsidP="00316631">
      <w:pPr>
        <w:tabs>
          <w:tab w:val="left" w:pos="993"/>
        </w:tabs>
        <w:spacing w:after="0" w:line="240" w:lineRule="auto"/>
        <w:ind w:firstLine="709"/>
        <w:jc w:val="both"/>
        <w:rPr>
          <w:rFonts w:ascii="Times New Roman" w:hAnsi="Times New Roman" w:cs="Times New Roman"/>
          <w:b/>
          <w:bCs/>
          <w:sz w:val="24"/>
          <w:szCs w:val="24"/>
        </w:rPr>
      </w:pPr>
      <w:r w:rsidRPr="00B369F9">
        <w:rPr>
          <w:rFonts w:ascii="Times New Roman" w:hAnsi="Times New Roman" w:cs="Times New Roman"/>
          <w:b/>
          <w:bCs/>
          <w:sz w:val="24"/>
          <w:szCs w:val="24"/>
        </w:rPr>
        <w:t>Энергопотребление и энергосбережение</w:t>
      </w:r>
    </w:p>
    <w:p w:rsidR="00316631" w:rsidRPr="00B369F9" w:rsidRDefault="00316631" w:rsidP="00316631">
      <w:pPr>
        <w:tabs>
          <w:tab w:val="left" w:pos="993"/>
        </w:tabs>
        <w:spacing w:after="0" w:line="240" w:lineRule="auto"/>
        <w:ind w:firstLine="709"/>
        <w:jc w:val="both"/>
        <w:rPr>
          <w:rFonts w:ascii="Times New Roman" w:hAnsi="Times New Roman" w:cs="Times New Roman"/>
          <w:sz w:val="24"/>
          <w:szCs w:val="24"/>
        </w:rPr>
      </w:pPr>
    </w:p>
    <w:p w:rsidR="004D2B1A" w:rsidRPr="00B369F9" w:rsidRDefault="004D2B1A" w:rsidP="004D2B1A">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Организация работы по энергосбережению и повышению энергетической эффективности Общества в 2023 году выполнялась в соответствии с Федеральным законом № 261-ФЗ «Об энергосбережении и о повышении энергетической эффективности и о внесении изменений в отдельные законодательные акты Российской Федерации», приказами Минэнерго России, положением по формированию Программ энергосбережения и повышения энергетической эффективности дочерних обществ ПАО</w:t>
      </w:r>
      <w:r w:rsidRPr="00B369F9">
        <w:rPr>
          <w:rFonts w:ascii="Times New Roman" w:eastAsia="Times New Roman" w:hAnsi="Times New Roman" w:cs="Times New Roman"/>
          <w:sz w:val="24"/>
          <w:szCs w:val="24"/>
          <w:lang w:val="en-US" w:eastAsia="ru-RU"/>
        </w:rPr>
        <w:t> </w:t>
      </w:r>
      <w:r w:rsidRPr="00B369F9">
        <w:rPr>
          <w:rFonts w:ascii="Times New Roman" w:eastAsia="Times New Roman" w:hAnsi="Times New Roman" w:cs="Times New Roman"/>
          <w:sz w:val="24"/>
          <w:szCs w:val="24"/>
          <w:lang w:eastAsia="ru-RU"/>
        </w:rPr>
        <w:t>«Россети» (утверждено Советом директоров ПАО «Россети», протокол от 29.04.2014 № 156), а также в соответствии с Программой энергосбережения и повышения энергетической эффективности Общества на период 2022-2027 гг. (далее – Программа), утвержденной Советом директоров АО «Чеченэнерго» (протокол 01.09.2022 № 271).</w:t>
      </w:r>
    </w:p>
    <w:p w:rsidR="004D2B1A" w:rsidRDefault="004D2B1A" w:rsidP="004D2B1A">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целях обеспечения реализации Программы в исполнительном аппарате Общества в соответствии с Приказом ПАО «Россети» от 09.09.2013 № 561 «Об организации работы по энергосбережению и повышению энергетической эффективности в ПАО «Россети» назначены ответственные руководители, отвечающие за контроль исполнения Программы, созданы рабочие группы, осуществляющие анализ выполнения Программы (приказ АО «Чеченэнерго» от 24.10.2020 № 292).</w:t>
      </w:r>
    </w:p>
    <w:p w:rsidR="00DF7519" w:rsidRPr="00B369F9" w:rsidRDefault="00DF7519" w:rsidP="004D2B1A">
      <w:pPr>
        <w:tabs>
          <w:tab w:val="left" w:pos="9356"/>
        </w:tabs>
        <w:suppressAutoHyphens/>
        <w:spacing w:after="0" w:line="240" w:lineRule="auto"/>
        <w:ind w:firstLine="709"/>
        <w:contextualSpacing/>
        <w:jc w:val="both"/>
        <w:rPr>
          <w:rFonts w:ascii="Times New Roman" w:eastAsia="Times New Roman" w:hAnsi="Times New Roman" w:cs="Times New Roman"/>
          <w:sz w:val="24"/>
          <w:szCs w:val="24"/>
          <w:lang w:eastAsia="ru-RU"/>
        </w:rPr>
      </w:pPr>
    </w:p>
    <w:p w:rsidR="00DF7519" w:rsidRPr="0006551D" w:rsidRDefault="00DF7519" w:rsidP="00DF7519">
      <w:pPr>
        <w:tabs>
          <w:tab w:val="left" w:pos="1134"/>
        </w:tabs>
        <w:spacing w:after="0" w:line="240" w:lineRule="auto"/>
        <w:ind w:firstLine="680"/>
        <w:jc w:val="center"/>
        <w:rPr>
          <w:rFonts w:ascii="Times New Roman" w:eastAsia="Calibri" w:hAnsi="Times New Roman" w:cs="Times New Roman"/>
          <w:b/>
          <w:sz w:val="24"/>
          <w:szCs w:val="24"/>
        </w:rPr>
      </w:pPr>
      <w:r w:rsidRPr="0006551D">
        <w:rPr>
          <w:rFonts w:ascii="Times New Roman" w:eastAsia="Calibri" w:hAnsi="Times New Roman" w:cs="Times New Roman"/>
          <w:b/>
          <w:sz w:val="24"/>
          <w:szCs w:val="24"/>
        </w:rPr>
        <w:t>Показатели по энергопотреблению и энергосбережению</w:t>
      </w:r>
    </w:p>
    <w:tbl>
      <w:tblPr>
        <w:tblW w:w="8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1045"/>
        <w:gridCol w:w="1134"/>
        <w:gridCol w:w="1134"/>
        <w:gridCol w:w="1560"/>
      </w:tblGrid>
      <w:tr w:rsidR="00DF7519" w:rsidRPr="007111EF" w:rsidTr="003B4A0C">
        <w:trPr>
          <w:cantSplit/>
          <w:trHeight w:val="77"/>
          <w:jc w:val="center"/>
        </w:trPr>
        <w:tc>
          <w:tcPr>
            <w:tcW w:w="2830" w:type="dxa"/>
            <w:vMerge w:val="restart"/>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Показатели</w:t>
            </w:r>
          </w:p>
        </w:tc>
        <w:tc>
          <w:tcPr>
            <w:tcW w:w="992" w:type="dxa"/>
            <w:vMerge w:val="restart"/>
            <w:vAlign w:val="center"/>
          </w:tcPr>
          <w:p w:rsidR="00DF7519" w:rsidRPr="007111EF" w:rsidRDefault="00DF7519" w:rsidP="00B06F6F">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Ед. изм.</w:t>
            </w:r>
          </w:p>
        </w:tc>
        <w:tc>
          <w:tcPr>
            <w:tcW w:w="4873" w:type="dxa"/>
            <w:gridSpan w:val="4"/>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Период</w:t>
            </w:r>
          </w:p>
        </w:tc>
      </w:tr>
      <w:tr w:rsidR="00DF7519" w:rsidRPr="007111EF" w:rsidTr="003B4A0C">
        <w:trPr>
          <w:cantSplit/>
          <w:jc w:val="center"/>
        </w:trPr>
        <w:tc>
          <w:tcPr>
            <w:tcW w:w="2830" w:type="dxa"/>
            <w:vMerge/>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p>
        </w:tc>
        <w:tc>
          <w:tcPr>
            <w:tcW w:w="992" w:type="dxa"/>
            <w:vMerge/>
            <w:vAlign w:val="center"/>
          </w:tcPr>
          <w:p w:rsidR="00DF7519" w:rsidRPr="007111EF" w:rsidRDefault="00DF7519" w:rsidP="00B06F6F">
            <w:pPr>
              <w:widowControl w:val="0"/>
              <w:tabs>
                <w:tab w:val="left" w:pos="40"/>
              </w:tabs>
              <w:spacing w:after="0" w:line="240" w:lineRule="auto"/>
              <w:jc w:val="center"/>
              <w:rPr>
                <w:rFonts w:ascii="Times New Roman" w:eastAsia="Times New Roman" w:hAnsi="Times New Roman" w:cs="Times New Roman"/>
                <w:b/>
                <w:bCs/>
                <w:color w:val="000000"/>
                <w:sz w:val="20"/>
                <w:szCs w:val="20"/>
                <w:lang w:eastAsia="ru-RU"/>
              </w:rPr>
            </w:pPr>
          </w:p>
        </w:tc>
        <w:tc>
          <w:tcPr>
            <w:tcW w:w="1045" w:type="dxa"/>
            <w:shd w:val="clear" w:color="auto" w:fill="auto"/>
            <w:vAlign w:val="center"/>
          </w:tcPr>
          <w:p w:rsidR="00DF7519" w:rsidRPr="007111EF" w:rsidDel="001A6DB5" w:rsidRDefault="00DF7519" w:rsidP="00B06F6F">
            <w:pPr>
              <w:widowControl w:val="0"/>
              <w:tabs>
                <w:tab w:val="left" w:pos="24"/>
              </w:tabs>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2021</w:t>
            </w:r>
            <w:r w:rsidRPr="007111EF">
              <w:rPr>
                <w:rFonts w:ascii="Times New Roman" w:eastAsia="Times New Roman" w:hAnsi="Times New Roman" w:cs="Times New Roman"/>
                <w:b/>
                <w:bCs/>
                <w:color w:val="000000"/>
                <w:sz w:val="20"/>
                <w:szCs w:val="20"/>
                <w:lang w:eastAsia="ru-RU"/>
              </w:rPr>
              <w:t xml:space="preserve"> год</w:t>
            </w:r>
          </w:p>
        </w:tc>
        <w:tc>
          <w:tcPr>
            <w:tcW w:w="1134" w:type="dxa"/>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2022</w:t>
            </w:r>
            <w:r w:rsidRPr="007111EF">
              <w:rPr>
                <w:rFonts w:ascii="Times New Roman" w:eastAsia="Times New Roman" w:hAnsi="Times New Roman" w:cs="Times New Roman"/>
                <w:b/>
                <w:bCs/>
                <w:color w:val="000000"/>
                <w:sz w:val="20"/>
                <w:szCs w:val="20"/>
                <w:lang w:eastAsia="ru-RU"/>
              </w:rPr>
              <w:t xml:space="preserve"> год</w:t>
            </w:r>
          </w:p>
        </w:tc>
        <w:tc>
          <w:tcPr>
            <w:tcW w:w="1134" w:type="dxa"/>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w:t>
            </w:r>
            <w:r w:rsidRPr="007111EF">
              <w:rPr>
                <w:rFonts w:ascii="Times New Roman" w:eastAsia="Times New Roman" w:hAnsi="Times New Roman" w:cs="Times New Roman"/>
                <w:b/>
                <w:bCs/>
                <w:color w:val="000000"/>
                <w:sz w:val="20"/>
                <w:szCs w:val="20"/>
                <w:lang w:eastAsia="ru-RU"/>
              </w:rPr>
              <w:t xml:space="preserve"> год</w:t>
            </w:r>
          </w:p>
        </w:tc>
        <w:tc>
          <w:tcPr>
            <w:tcW w:w="1560" w:type="dxa"/>
            <w:vAlign w:val="center"/>
          </w:tcPr>
          <w:p w:rsidR="00DF7519" w:rsidRPr="007111EF" w:rsidRDefault="00DF7519" w:rsidP="00B06F6F">
            <w:pPr>
              <w:widowControl w:val="0"/>
              <w:tabs>
                <w:tab w:val="left" w:pos="751"/>
              </w:tabs>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изменение</w:t>
            </w:r>
          </w:p>
          <w:p w:rsidR="00DF7519" w:rsidRPr="007111EF" w:rsidRDefault="00DF7519" w:rsidP="00B06F6F">
            <w:pPr>
              <w:widowControl w:val="0"/>
              <w:spacing w:after="0" w:line="240" w:lineRule="auto"/>
              <w:jc w:val="center"/>
              <w:rPr>
                <w:rFonts w:ascii="Times New Roman" w:eastAsia="Times New Roman" w:hAnsi="Times New Roman" w:cs="Times New Roman"/>
                <w:b/>
                <w:bCs/>
                <w:color w:val="000000"/>
                <w:sz w:val="20"/>
                <w:szCs w:val="20"/>
                <w:lang w:eastAsia="ru-RU"/>
              </w:rPr>
            </w:pPr>
            <w:r w:rsidRPr="007111EF">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eastAsia="ru-RU"/>
              </w:rPr>
              <w:t>3</w:t>
            </w:r>
            <w:r w:rsidRPr="007111EF">
              <w:rPr>
                <w:rFonts w:ascii="Times New Roman" w:eastAsia="Times New Roman" w:hAnsi="Times New Roman" w:cs="Times New Roman"/>
                <w:b/>
                <w:bCs/>
                <w:color w:val="000000"/>
                <w:sz w:val="20"/>
                <w:szCs w:val="20"/>
                <w:lang w:eastAsia="ru-RU"/>
              </w:rPr>
              <w:t>/20</w:t>
            </w:r>
            <w:r w:rsidRPr="007111EF">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2</w:t>
            </w:r>
            <w:r w:rsidRPr="007111EF">
              <w:rPr>
                <w:rFonts w:ascii="Times New Roman" w:eastAsia="Times New Roman" w:hAnsi="Times New Roman" w:cs="Times New Roman"/>
                <w:b/>
                <w:bCs/>
                <w:color w:val="000000"/>
                <w:sz w:val="20"/>
                <w:szCs w:val="20"/>
                <w:lang w:eastAsia="ru-RU"/>
              </w:rPr>
              <w:t>, %</w:t>
            </w:r>
          </w:p>
        </w:tc>
      </w:tr>
      <w:tr w:rsidR="00DF7519" w:rsidRPr="007111EF" w:rsidTr="003B4A0C">
        <w:trPr>
          <w:cantSplit/>
          <w:jc w:val="center"/>
        </w:trPr>
        <w:tc>
          <w:tcPr>
            <w:tcW w:w="2830" w:type="dxa"/>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1</w:t>
            </w:r>
          </w:p>
        </w:tc>
        <w:tc>
          <w:tcPr>
            <w:tcW w:w="992" w:type="dxa"/>
            <w:vAlign w:val="center"/>
          </w:tcPr>
          <w:p w:rsidR="00DF7519" w:rsidRPr="007111EF" w:rsidRDefault="00DF7519" w:rsidP="00B06F6F">
            <w:pPr>
              <w:widowControl w:val="0"/>
              <w:tabs>
                <w:tab w:val="left" w:pos="40"/>
              </w:tabs>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2</w:t>
            </w:r>
          </w:p>
        </w:tc>
        <w:tc>
          <w:tcPr>
            <w:tcW w:w="1045" w:type="dxa"/>
            <w:shd w:val="clear" w:color="auto" w:fill="auto"/>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3</w:t>
            </w:r>
          </w:p>
        </w:tc>
        <w:tc>
          <w:tcPr>
            <w:tcW w:w="1134" w:type="dxa"/>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4</w:t>
            </w:r>
          </w:p>
        </w:tc>
        <w:tc>
          <w:tcPr>
            <w:tcW w:w="1134" w:type="dxa"/>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Cs/>
                <w:color w:val="000000"/>
                <w:sz w:val="20"/>
                <w:szCs w:val="20"/>
                <w:lang w:val="en-US" w:eastAsia="ru-RU"/>
              </w:rPr>
            </w:pPr>
            <w:r w:rsidRPr="007111EF">
              <w:rPr>
                <w:rFonts w:ascii="Times New Roman" w:eastAsia="Times New Roman" w:hAnsi="Times New Roman" w:cs="Times New Roman"/>
                <w:bCs/>
                <w:color w:val="000000"/>
                <w:sz w:val="20"/>
                <w:szCs w:val="20"/>
                <w:lang w:val="en-US" w:eastAsia="ru-RU"/>
              </w:rPr>
              <w:t>5</w:t>
            </w:r>
          </w:p>
        </w:tc>
        <w:tc>
          <w:tcPr>
            <w:tcW w:w="1560" w:type="dxa"/>
            <w:tcBorders>
              <w:bottom w:val="single" w:sz="4" w:space="0" w:color="auto"/>
            </w:tcBorders>
            <w:vAlign w:val="center"/>
          </w:tcPr>
          <w:p w:rsidR="00DF7519" w:rsidRPr="007111EF" w:rsidRDefault="00DF7519" w:rsidP="00B06F6F">
            <w:pPr>
              <w:widowControl w:val="0"/>
              <w:spacing w:after="0" w:line="240" w:lineRule="auto"/>
              <w:jc w:val="center"/>
              <w:rPr>
                <w:rFonts w:ascii="Times New Roman" w:eastAsia="Times New Roman" w:hAnsi="Times New Roman" w:cs="Times New Roman"/>
                <w:bCs/>
                <w:color w:val="000000"/>
                <w:sz w:val="20"/>
                <w:szCs w:val="20"/>
                <w:lang w:val="en-US" w:eastAsia="ru-RU"/>
              </w:rPr>
            </w:pPr>
            <w:r w:rsidRPr="007111EF">
              <w:rPr>
                <w:rFonts w:ascii="Times New Roman" w:eastAsia="Times New Roman" w:hAnsi="Times New Roman" w:cs="Times New Roman"/>
                <w:bCs/>
                <w:color w:val="000000"/>
                <w:sz w:val="20"/>
                <w:szCs w:val="20"/>
                <w:lang w:val="en-US" w:eastAsia="ru-RU"/>
              </w:rPr>
              <w:t>6</w:t>
            </w:r>
          </w:p>
        </w:tc>
      </w:tr>
      <w:tr w:rsidR="00DF7519" w:rsidRPr="007111EF" w:rsidTr="003B4A0C">
        <w:trPr>
          <w:cantSplit/>
          <w:trHeight w:val="311"/>
          <w:jc w:val="center"/>
        </w:trPr>
        <w:tc>
          <w:tcPr>
            <w:tcW w:w="2830" w:type="dxa"/>
            <w:vMerge w:val="restart"/>
            <w:shd w:val="clear" w:color="auto" w:fill="auto"/>
            <w:vAlign w:val="center"/>
          </w:tcPr>
          <w:p w:rsidR="00DF7519" w:rsidRPr="007111EF" w:rsidRDefault="00DF7519" w:rsidP="00B06F6F">
            <w:pPr>
              <w:spacing w:after="0" w:line="240" w:lineRule="auto"/>
              <w:jc w:val="both"/>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lastRenderedPageBreak/>
              <w:t xml:space="preserve">Расход топливно-энергетических ресурсов (ТЭР) </w:t>
            </w:r>
          </w:p>
        </w:tc>
        <w:tc>
          <w:tcPr>
            <w:tcW w:w="992" w:type="dxa"/>
            <w:shd w:val="clear" w:color="auto" w:fill="auto"/>
            <w:vAlign w:val="center"/>
          </w:tcPr>
          <w:p w:rsidR="00DF7519" w:rsidRPr="007111EF" w:rsidRDefault="00DF7519" w:rsidP="00B06F6F">
            <w:pPr>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lang w:eastAsia="ru-RU"/>
              </w:rPr>
              <w:t>тыс. т.у.т.</w:t>
            </w:r>
          </w:p>
        </w:tc>
        <w:tc>
          <w:tcPr>
            <w:tcW w:w="1045" w:type="dxa"/>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4,54</w:t>
            </w:r>
          </w:p>
        </w:tc>
        <w:tc>
          <w:tcPr>
            <w:tcW w:w="1134" w:type="dxa"/>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4,53</w:t>
            </w:r>
          </w:p>
        </w:tc>
        <w:tc>
          <w:tcPr>
            <w:tcW w:w="1134" w:type="dxa"/>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4,22</w:t>
            </w:r>
          </w:p>
        </w:tc>
        <w:tc>
          <w:tcPr>
            <w:tcW w:w="1560" w:type="dxa"/>
            <w:tcBorders>
              <w:top w:val="single" w:sz="4" w:space="0" w:color="auto"/>
              <w:left w:val="nil"/>
              <w:bottom w:val="single" w:sz="4" w:space="0" w:color="auto"/>
              <w:right w:val="single" w:sz="4" w:space="0" w:color="auto"/>
            </w:tcBorders>
            <w:shd w:val="clear" w:color="auto" w:fill="auto"/>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- 6,84</w:t>
            </w:r>
            <w:r w:rsidRPr="00D81671">
              <w:rPr>
                <w:rFonts w:ascii="Times New Roman" w:eastAsia="Calibri" w:hAnsi="Times New Roman" w:cs="Times New Roman"/>
                <w:sz w:val="20"/>
                <w:szCs w:val="20"/>
              </w:rPr>
              <w:t>%</w:t>
            </w:r>
          </w:p>
        </w:tc>
      </w:tr>
      <w:tr w:rsidR="00DF7519" w:rsidRPr="007111EF" w:rsidTr="003B4A0C">
        <w:trPr>
          <w:cantSplit/>
          <w:trHeight w:val="353"/>
          <w:jc w:val="center"/>
        </w:trPr>
        <w:tc>
          <w:tcPr>
            <w:tcW w:w="2830" w:type="dxa"/>
            <w:vMerge/>
            <w:vAlign w:val="center"/>
          </w:tcPr>
          <w:p w:rsidR="00DF7519" w:rsidRPr="007111EF" w:rsidRDefault="00DF7519" w:rsidP="00B06F6F">
            <w:pPr>
              <w:widowControl w:val="0"/>
              <w:spacing w:after="0" w:line="240" w:lineRule="auto"/>
              <w:jc w:val="both"/>
              <w:rPr>
                <w:rFonts w:ascii="Times New Roman" w:eastAsia="Times New Roman" w:hAnsi="Times New Roman" w:cs="Times New Roman"/>
                <w:b/>
                <w:color w:val="000000"/>
                <w:sz w:val="20"/>
                <w:szCs w:val="20"/>
                <w:lang w:eastAsia="ru-RU"/>
              </w:rPr>
            </w:pPr>
          </w:p>
        </w:tc>
        <w:tc>
          <w:tcPr>
            <w:tcW w:w="992" w:type="dxa"/>
            <w:vAlign w:val="center"/>
          </w:tcPr>
          <w:p w:rsidR="00DF7519" w:rsidRPr="007111EF" w:rsidRDefault="00DF7519" w:rsidP="00B06F6F">
            <w:pPr>
              <w:spacing w:after="0" w:line="240" w:lineRule="auto"/>
              <w:jc w:val="center"/>
              <w:rPr>
                <w:rFonts w:ascii="Times New Roman" w:eastAsia="Times New Roman" w:hAnsi="Times New Roman" w:cs="Times New Roman"/>
                <w:bCs/>
                <w:color w:val="000000"/>
                <w:sz w:val="20"/>
                <w:szCs w:val="20"/>
                <w:lang w:eastAsia="ru-RU"/>
              </w:rPr>
            </w:pPr>
            <w:r w:rsidRPr="007111EF">
              <w:rPr>
                <w:rFonts w:ascii="Times New Roman" w:eastAsia="Times New Roman" w:hAnsi="Times New Roman" w:cs="Times New Roman"/>
                <w:bCs/>
                <w:color w:val="000000"/>
                <w:sz w:val="20"/>
                <w:szCs w:val="20"/>
              </w:rPr>
              <w:t>млн руб.</w:t>
            </w:r>
          </w:p>
        </w:tc>
        <w:tc>
          <w:tcPr>
            <w:tcW w:w="1045" w:type="dxa"/>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sidRPr="007111EF">
              <w:rPr>
                <w:rFonts w:ascii="Times New Roman" w:eastAsia="Calibri" w:hAnsi="Times New Roman" w:cs="Times New Roman"/>
                <w:sz w:val="20"/>
                <w:szCs w:val="20"/>
              </w:rPr>
              <w:t>117,9</w:t>
            </w:r>
          </w:p>
        </w:tc>
        <w:tc>
          <w:tcPr>
            <w:tcW w:w="1134" w:type="dxa"/>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114,65</w:t>
            </w:r>
          </w:p>
        </w:tc>
        <w:tc>
          <w:tcPr>
            <w:tcW w:w="1134" w:type="dxa"/>
            <w:vAlign w:val="center"/>
          </w:tcPr>
          <w:p w:rsidR="00DF7519" w:rsidRPr="00D81671"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110,21</w:t>
            </w:r>
          </w:p>
        </w:tc>
        <w:tc>
          <w:tcPr>
            <w:tcW w:w="1560" w:type="dxa"/>
            <w:tcBorders>
              <w:top w:val="single" w:sz="4" w:space="0" w:color="auto"/>
              <w:left w:val="nil"/>
              <w:bottom w:val="single" w:sz="4" w:space="0" w:color="auto"/>
              <w:right w:val="single" w:sz="4" w:space="0" w:color="auto"/>
            </w:tcBorders>
            <w:shd w:val="clear" w:color="auto" w:fill="auto"/>
            <w:vAlign w:val="center"/>
          </w:tcPr>
          <w:p w:rsidR="00DF7519" w:rsidRPr="007111EF"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- 3,87</w:t>
            </w:r>
            <w:r w:rsidRPr="00D81671">
              <w:rPr>
                <w:rFonts w:ascii="Times New Roman" w:eastAsia="Calibri" w:hAnsi="Times New Roman" w:cs="Times New Roman"/>
                <w:sz w:val="20"/>
                <w:szCs w:val="20"/>
              </w:rPr>
              <w:t>%</w:t>
            </w:r>
          </w:p>
        </w:tc>
      </w:tr>
    </w:tbl>
    <w:p w:rsidR="00DF7519" w:rsidRPr="0006551D" w:rsidRDefault="00DF7519" w:rsidP="00DF7519">
      <w:pPr>
        <w:tabs>
          <w:tab w:val="left" w:pos="1134"/>
        </w:tabs>
        <w:spacing w:after="0" w:line="240" w:lineRule="auto"/>
        <w:ind w:firstLine="680"/>
        <w:jc w:val="center"/>
        <w:rPr>
          <w:rFonts w:ascii="Times New Roman" w:eastAsia="Calibri" w:hAnsi="Times New Roman" w:cs="Times New Roman"/>
          <w:sz w:val="20"/>
          <w:szCs w:val="20"/>
        </w:rPr>
      </w:pPr>
    </w:p>
    <w:p w:rsidR="00DF7519" w:rsidRPr="0006551D" w:rsidRDefault="00DF7519" w:rsidP="00DF7519">
      <w:pPr>
        <w:tabs>
          <w:tab w:val="left" w:pos="1134"/>
        </w:tabs>
        <w:spacing w:after="0" w:line="240" w:lineRule="auto"/>
        <w:jc w:val="center"/>
        <w:rPr>
          <w:rFonts w:ascii="Times New Roman" w:eastAsia="Calibri" w:hAnsi="Times New Roman" w:cs="Times New Roman"/>
          <w:b/>
          <w:sz w:val="24"/>
          <w:szCs w:val="24"/>
        </w:rPr>
      </w:pPr>
      <w:r w:rsidRPr="0006551D">
        <w:rPr>
          <w:rFonts w:ascii="Times New Roman" w:eastAsia="Calibri" w:hAnsi="Times New Roman" w:cs="Times New Roman"/>
          <w:b/>
          <w:sz w:val="24"/>
          <w:szCs w:val="24"/>
        </w:rPr>
        <w:t>Объем энергетических ресурсов, использованных в 202</w:t>
      </w:r>
      <w:r>
        <w:rPr>
          <w:rFonts w:ascii="Times New Roman" w:eastAsia="Calibri" w:hAnsi="Times New Roman" w:cs="Times New Roman"/>
          <w:b/>
          <w:sz w:val="24"/>
          <w:szCs w:val="24"/>
        </w:rPr>
        <w:t>3</w:t>
      </w:r>
      <w:r w:rsidRPr="0006551D">
        <w:rPr>
          <w:rFonts w:ascii="Times New Roman" w:eastAsia="Calibri" w:hAnsi="Times New Roman" w:cs="Times New Roman"/>
          <w:b/>
          <w:sz w:val="24"/>
          <w:szCs w:val="24"/>
        </w:rPr>
        <w:t> году</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985"/>
        <w:gridCol w:w="1843"/>
        <w:gridCol w:w="1275"/>
        <w:gridCol w:w="1276"/>
        <w:gridCol w:w="1701"/>
      </w:tblGrid>
      <w:tr w:rsidR="00DF7519" w:rsidRPr="0006551D" w:rsidTr="00B06F6F">
        <w:trPr>
          <w:trHeight w:val="1"/>
          <w:tblHeader/>
          <w:jc w:val="center"/>
        </w:trPr>
        <w:tc>
          <w:tcPr>
            <w:tcW w:w="562"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 п/п</w:t>
            </w:r>
          </w:p>
        </w:tc>
        <w:tc>
          <w:tcPr>
            <w:tcW w:w="1985"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Виды ресурсов</w:t>
            </w: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Ед. изм.</w:t>
            </w:r>
          </w:p>
        </w:tc>
        <w:tc>
          <w:tcPr>
            <w:tcW w:w="1275" w:type="dxa"/>
            <w:tcBorders>
              <w:bottom w:val="single" w:sz="4" w:space="0" w:color="auto"/>
            </w:tcBorders>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План 2023</w:t>
            </w:r>
          </w:p>
        </w:tc>
        <w:tc>
          <w:tcPr>
            <w:tcW w:w="1276" w:type="dxa"/>
            <w:tcBorders>
              <w:bottom w:val="single" w:sz="4" w:space="0" w:color="auto"/>
            </w:tcBorders>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Факт 2023</w:t>
            </w:r>
          </w:p>
        </w:tc>
        <w:tc>
          <w:tcPr>
            <w:tcW w:w="1701" w:type="dxa"/>
            <w:tcBorders>
              <w:bottom w:val="single" w:sz="4" w:space="0" w:color="auto"/>
            </w:tcBorders>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Отклонение в %</w:t>
            </w:r>
          </w:p>
        </w:tc>
      </w:tr>
      <w:tr w:rsidR="00DF7519" w:rsidRPr="009B0C20" w:rsidTr="00B06F6F">
        <w:trPr>
          <w:trHeight w:val="1"/>
          <w:jc w:val="center"/>
        </w:trPr>
        <w:tc>
          <w:tcPr>
            <w:tcW w:w="562"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1.</w:t>
            </w:r>
          </w:p>
        </w:tc>
        <w:tc>
          <w:tcPr>
            <w:tcW w:w="1985"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электрическая энергия</w:t>
            </w: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кВт∙ч</w:t>
            </w:r>
          </w:p>
        </w:tc>
        <w:tc>
          <w:tcPr>
            <w:tcW w:w="1275" w:type="dxa"/>
            <w:tcBorders>
              <w:top w:val="single" w:sz="4" w:space="0" w:color="auto"/>
              <w:left w:val="nil"/>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6,43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6,83   </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6,22%</w:t>
            </w:r>
          </w:p>
        </w:tc>
      </w:tr>
      <w:tr w:rsidR="00DF7519" w:rsidRPr="009B0C20" w:rsidTr="00B06F6F">
        <w:trPr>
          <w:trHeight w:val="1"/>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 у.т.</w:t>
            </w:r>
          </w:p>
        </w:tc>
        <w:tc>
          <w:tcPr>
            <w:tcW w:w="1275" w:type="dxa"/>
            <w:tcBorders>
              <w:top w:val="single" w:sz="4" w:space="0" w:color="auto"/>
              <w:left w:val="nil"/>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0,77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0,82   </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6,49%</w:t>
            </w:r>
          </w:p>
        </w:tc>
      </w:tr>
      <w:tr w:rsidR="00DF7519" w:rsidRPr="009B0C20" w:rsidTr="00B06F6F">
        <w:trPr>
          <w:trHeight w:val="1"/>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млн.руб. без НДС</w:t>
            </w:r>
          </w:p>
        </w:tc>
        <w:tc>
          <w:tcPr>
            <w:tcW w:w="1275" w:type="dxa"/>
            <w:tcBorders>
              <w:top w:val="single" w:sz="4" w:space="0" w:color="auto"/>
              <w:left w:val="nil"/>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5,54   </w:t>
            </w:r>
          </w:p>
        </w:tc>
        <w:tc>
          <w:tcPr>
            <w:tcW w:w="1276" w:type="dxa"/>
            <w:tcBorders>
              <w:top w:val="single" w:sz="4" w:space="0" w:color="auto"/>
              <w:left w:val="single" w:sz="4" w:space="0" w:color="auto"/>
              <w:bottom w:val="single" w:sz="4" w:space="0" w:color="auto"/>
              <w:right w:val="single" w:sz="4" w:space="0" w:color="auto"/>
            </w:tcBorders>
            <w:shd w:val="clear" w:color="000000" w:fill="FFFFFF"/>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 xml:space="preserve"> 7,00   </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284E00" w:rsidRDefault="00DF7519" w:rsidP="00B06F6F">
            <w:pPr>
              <w:spacing w:after="0" w:line="240" w:lineRule="auto"/>
              <w:jc w:val="center"/>
              <w:rPr>
                <w:rFonts w:ascii="Times New Roman" w:eastAsia="Calibri" w:hAnsi="Times New Roman" w:cs="Times New Roman"/>
                <w:sz w:val="20"/>
                <w:szCs w:val="20"/>
              </w:rPr>
            </w:pPr>
            <w:r w:rsidRPr="00284E00">
              <w:rPr>
                <w:rFonts w:ascii="Times New Roman" w:eastAsia="Calibri" w:hAnsi="Times New Roman" w:cs="Times New Roman"/>
                <w:sz w:val="20"/>
                <w:szCs w:val="20"/>
              </w:rPr>
              <w:t>26,35%</w:t>
            </w:r>
          </w:p>
        </w:tc>
      </w:tr>
      <w:tr w:rsidR="00DF7519" w:rsidRPr="009B0C20" w:rsidTr="00B06F6F">
        <w:trPr>
          <w:trHeight w:val="271"/>
          <w:jc w:val="center"/>
        </w:trPr>
        <w:tc>
          <w:tcPr>
            <w:tcW w:w="562"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2.</w:t>
            </w:r>
          </w:p>
        </w:tc>
        <w:tc>
          <w:tcPr>
            <w:tcW w:w="1985"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бензин автомобильный</w:t>
            </w: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тыс.л.</w:t>
            </w:r>
          </w:p>
        </w:tc>
        <w:tc>
          <w:tcPr>
            <w:tcW w:w="1275" w:type="dxa"/>
            <w:tcBorders>
              <w:top w:val="single" w:sz="4" w:space="0" w:color="auto"/>
              <w:left w:val="single" w:sz="8"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1 649,36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1 410,63</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-14,47%</w:t>
            </w:r>
          </w:p>
        </w:tc>
      </w:tr>
      <w:tr w:rsidR="00DF7519" w:rsidRPr="009B0C20" w:rsidTr="00B06F6F">
        <w:trPr>
          <w:trHeight w:val="275"/>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 у.т.</w:t>
            </w:r>
          </w:p>
        </w:tc>
        <w:tc>
          <w:tcPr>
            <w:tcW w:w="1275" w:type="dxa"/>
            <w:tcBorders>
              <w:top w:val="nil"/>
              <w:left w:val="single" w:sz="8"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1,87</w:t>
            </w:r>
          </w:p>
        </w:tc>
        <w:tc>
          <w:tcPr>
            <w:tcW w:w="1276" w:type="dxa"/>
            <w:tcBorders>
              <w:top w:val="nil"/>
              <w:left w:val="single" w:sz="4"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1,60</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-14,44%</w:t>
            </w:r>
          </w:p>
        </w:tc>
      </w:tr>
      <w:tr w:rsidR="00DF7519" w:rsidRPr="009B0C20" w:rsidTr="00B06F6F">
        <w:trPr>
          <w:trHeight w:val="275"/>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руб. без НДС</w:t>
            </w:r>
          </w:p>
        </w:tc>
        <w:tc>
          <w:tcPr>
            <w:tcW w:w="1275" w:type="dxa"/>
            <w:tcBorders>
              <w:top w:val="nil"/>
              <w:left w:val="single" w:sz="8"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72,13</w:t>
            </w:r>
          </w:p>
        </w:tc>
        <w:tc>
          <w:tcPr>
            <w:tcW w:w="1276" w:type="dxa"/>
            <w:tcBorders>
              <w:top w:val="nil"/>
              <w:left w:val="single" w:sz="4" w:space="0" w:color="auto"/>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64,00</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-11,27%</w:t>
            </w:r>
          </w:p>
        </w:tc>
      </w:tr>
      <w:tr w:rsidR="00DF7519" w:rsidRPr="009B0C20" w:rsidTr="00B06F6F">
        <w:trPr>
          <w:trHeight w:val="279"/>
          <w:jc w:val="center"/>
        </w:trPr>
        <w:tc>
          <w:tcPr>
            <w:tcW w:w="562"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3.</w:t>
            </w:r>
          </w:p>
        </w:tc>
        <w:tc>
          <w:tcPr>
            <w:tcW w:w="1985"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топливо дизельное</w:t>
            </w: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тыс.л.</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927,52</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642,55</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-30,72%</w:t>
            </w:r>
          </w:p>
        </w:tc>
      </w:tr>
      <w:tr w:rsidR="00DF7519" w:rsidRPr="009B0C20" w:rsidTr="00B06F6F">
        <w:trPr>
          <w:trHeight w:val="256"/>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тыс. т.у.т.</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1,14</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0,79</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-30,70%</w:t>
            </w:r>
          </w:p>
        </w:tc>
      </w:tr>
      <w:tr w:rsidR="00DF7519" w:rsidRPr="009B0C20" w:rsidTr="00B06F6F">
        <w:trPr>
          <w:trHeight w:val="256"/>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млн. 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42,07</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32,</w:t>
            </w:r>
            <w:r>
              <w:rPr>
                <w:rFonts w:ascii="Times New Roman" w:eastAsia="Calibri" w:hAnsi="Times New Roman" w:cs="Times New Roman"/>
                <w:sz w:val="20"/>
                <w:szCs w:val="20"/>
              </w:rPr>
              <w:t>6</w:t>
            </w:r>
            <w:r w:rsidRPr="009B0C20">
              <w:rPr>
                <w:rFonts w:ascii="Times New Roman" w:eastAsia="Calibri" w:hAnsi="Times New Roman" w:cs="Times New Roman"/>
                <w:sz w:val="20"/>
                <w:szCs w:val="20"/>
              </w:rPr>
              <w:t>0</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9B0C20" w:rsidRDefault="00DF7519" w:rsidP="00B06F6F">
            <w:pPr>
              <w:spacing w:after="0" w:line="240" w:lineRule="auto"/>
              <w:jc w:val="center"/>
              <w:rPr>
                <w:rFonts w:ascii="Times New Roman" w:eastAsia="Calibri" w:hAnsi="Times New Roman" w:cs="Times New Roman"/>
                <w:sz w:val="20"/>
                <w:szCs w:val="20"/>
              </w:rPr>
            </w:pPr>
            <w:r w:rsidRPr="009B0C20">
              <w:rPr>
                <w:rFonts w:ascii="Times New Roman" w:eastAsia="Calibri" w:hAnsi="Times New Roman" w:cs="Times New Roman"/>
                <w:sz w:val="20"/>
                <w:szCs w:val="20"/>
              </w:rPr>
              <w:t>22,5</w:t>
            </w:r>
            <w:r>
              <w:rPr>
                <w:rFonts w:ascii="Times New Roman" w:eastAsia="Calibri" w:hAnsi="Times New Roman" w:cs="Times New Roman"/>
                <w:sz w:val="20"/>
                <w:szCs w:val="20"/>
              </w:rPr>
              <w:t>1</w:t>
            </w:r>
            <w:r w:rsidRPr="009B0C20">
              <w:rPr>
                <w:rFonts w:ascii="Times New Roman" w:eastAsia="Calibri" w:hAnsi="Times New Roman" w:cs="Times New Roman"/>
                <w:sz w:val="20"/>
                <w:szCs w:val="20"/>
              </w:rPr>
              <w:t>%</w:t>
            </w:r>
          </w:p>
        </w:tc>
      </w:tr>
      <w:tr w:rsidR="00DF7519" w:rsidRPr="0006551D" w:rsidTr="00B06F6F">
        <w:trPr>
          <w:trHeight w:val="254"/>
          <w:jc w:val="center"/>
        </w:trPr>
        <w:tc>
          <w:tcPr>
            <w:tcW w:w="562"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4.</w:t>
            </w:r>
          </w:p>
        </w:tc>
        <w:tc>
          <w:tcPr>
            <w:tcW w:w="1985" w:type="dxa"/>
            <w:vMerge w:val="restart"/>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 xml:space="preserve">газ естественный </w:t>
            </w:r>
            <w:r w:rsidRPr="0006551D">
              <w:rPr>
                <w:rFonts w:ascii="Times New Roman" w:eastAsia="Calibri" w:hAnsi="Times New Roman" w:cs="Times New Roman"/>
                <w:sz w:val="20"/>
                <w:szCs w:val="20"/>
              </w:rPr>
              <w:t>(природный)</w:t>
            </w:r>
          </w:p>
        </w:tc>
        <w:tc>
          <w:tcPr>
            <w:tcW w:w="1843" w:type="dxa"/>
            <w:shd w:val="clear" w:color="000000" w:fill="FFFFFF"/>
          </w:tcPr>
          <w:p w:rsidR="00DF7519" w:rsidRPr="0006551D" w:rsidRDefault="00DF7519" w:rsidP="00B06F6F">
            <w:pPr>
              <w:spacing w:after="0" w:line="240" w:lineRule="auto"/>
              <w:rPr>
                <w:rFonts w:ascii="Times New Roman" w:eastAsia="Calibri" w:hAnsi="Times New Roman" w:cs="Times New Roman"/>
                <w:sz w:val="20"/>
                <w:szCs w:val="20"/>
              </w:rPr>
            </w:pPr>
            <w:r w:rsidRPr="0006551D">
              <w:rPr>
                <w:rFonts w:ascii="Times New Roman" w:eastAsia="Calibri" w:hAnsi="Times New Roman" w:cs="Times New Roman"/>
                <w:sz w:val="20"/>
                <w:szCs w:val="20"/>
              </w:rPr>
              <w:t xml:space="preserve">тыс. м3 </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955,27</w:t>
            </w:r>
          </w:p>
        </w:tc>
        <w:tc>
          <w:tcPr>
            <w:tcW w:w="1276" w:type="dxa"/>
            <w:tcBorders>
              <w:top w:val="single" w:sz="4" w:space="0" w:color="auto"/>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sidRPr="00F150CE">
              <w:rPr>
                <w:rFonts w:ascii="Times New Roman" w:eastAsia="Calibri" w:hAnsi="Times New Roman" w:cs="Times New Roman"/>
                <w:sz w:val="20"/>
                <w:szCs w:val="20"/>
              </w:rPr>
              <w:t>876,97</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-8</w:t>
            </w:r>
            <w:r w:rsidRPr="00EC028F">
              <w:rPr>
                <w:rFonts w:ascii="Times New Roman" w:eastAsia="Calibri" w:hAnsi="Times New Roman" w:cs="Times New Roman"/>
                <w:sz w:val="20"/>
                <w:szCs w:val="20"/>
              </w:rPr>
              <w:t>,</w:t>
            </w:r>
            <w:r>
              <w:rPr>
                <w:rFonts w:ascii="Times New Roman" w:eastAsia="Calibri" w:hAnsi="Times New Roman" w:cs="Times New Roman"/>
                <w:sz w:val="20"/>
                <w:szCs w:val="20"/>
              </w:rPr>
              <w:t>20</w:t>
            </w:r>
            <w:r w:rsidRPr="00EC028F">
              <w:rPr>
                <w:rFonts w:ascii="Times New Roman" w:eastAsia="Calibri" w:hAnsi="Times New Roman" w:cs="Times New Roman"/>
                <w:sz w:val="20"/>
                <w:szCs w:val="20"/>
              </w:rPr>
              <w:t>%</w:t>
            </w:r>
          </w:p>
        </w:tc>
      </w:tr>
      <w:tr w:rsidR="00DF7519" w:rsidRPr="0006551D" w:rsidTr="00B06F6F">
        <w:trPr>
          <w:trHeight w:val="258"/>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F06730" w:rsidRDefault="00DF7519" w:rsidP="00B06F6F">
            <w:pPr>
              <w:spacing w:after="0" w:line="240" w:lineRule="auto"/>
              <w:rPr>
                <w:rFonts w:ascii="Times New Roman" w:eastAsia="Calibri" w:hAnsi="Times New Roman" w:cs="Times New Roman"/>
                <w:sz w:val="20"/>
                <w:szCs w:val="20"/>
              </w:rPr>
            </w:pPr>
            <w:r w:rsidRPr="00F06730">
              <w:rPr>
                <w:rFonts w:ascii="Times New Roman" w:eastAsia="Calibri" w:hAnsi="Times New Roman" w:cs="Times New Roman"/>
                <w:sz w:val="20"/>
                <w:szCs w:val="20"/>
              </w:rPr>
              <w:t>тыс. т у.т.</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sidRPr="00EC028F">
              <w:rPr>
                <w:rFonts w:ascii="Times New Roman" w:eastAsia="Calibri" w:hAnsi="Times New Roman" w:cs="Times New Roman"/>
                <w:sz w:val="20"/>
                <w:szCs w:val="20"/>
              </w:rPr>
              <w:t>1,10</w:t>
            </w:r>
          </w:p>
        </w:tc>
        <w:tc>
          <w:tcPr>
            <w:tcW w:w="1276" w:type="dxa"/>
            <w:tcBorders>
              <w:top w:val="nil"/>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sidRPr="00F150CE">
              <w:rPr>
                <w:rFonts w:ascii="Times New Roman" w:eastAsia="Calibri" w:hAnsi="Times New Roman" w:cs="Times New Roman"/>
                <w:sz w:val="20"/>
                <w:szCs w:val="20"/>
              </w:rPr>
              <w:t>1,01</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-8,18</w:t>
            </w:r>
            <w:r w:rsidRPr="00EC028F">
              <w:rPr>
                <w:rFonts w:ascii="Times New Roman" w:eastAsia="Calibri" w:hAnsi="Times New Roman" w:cs="Times New Roman"/>
                <w:sz w:val="20"/>
                <w:szCs w:val="20"/>
              </w:rPr>
              <w:t>%</w:t>
            </w:r>
          </w:p>
        </w:tc>
      </w:tr>
      <w:tr w:rsidR="00DF7519" w:rsidRPr="0006551D" w:rsidTr="00B06F6F">
        <w:trPr>
          <w:trHeight w:val="258"/>
          <w:jc w:val="center"/>
        </w:trPr>
        <w:tc>
          <w:tcPr>
            <w:tcW w:w="562"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985" w:type="dxa"/>
            <w:vMerge/>
            <w:shd w:val="clear" w:color="000000" w:fill="FFFFFF"/>
            <w:vAlign w:val="center"/>
          </w:tcPr>
          <w:p w:rsidR="00DF7519" w:rsidRPr="0006551D" w:rsidRDefault="00DF7519" w:rsidP="00B06F6F">
            <w:pPr>
              <w:spacing w:after="0" w:line="240" w:lineRule="auto"/>
              <w:rPr>
                <w:rFonts w:ascii="Times New Roman" w:eastAsia="Calibri" w:hAnsi="Times New Roman" w:cs="Times New Roman"/>
                <w:sz w:val="20"/>
                <w:szCs w:val="20"/>
              </w:rPr>
            </w:pPr>
          </w:p>
        </w:tc>
        <w:tc>
          <w:tcPr>
            <w:tcW w:w="1843" w:type="dxa"/>
            <w:shd w:val="clear" w:color="000000" w:fill="FFFFFF"/>
          </w:tcPr>
          <w:p w:rsidR="00DF7519" w:rsidRPr="00F06730" w:rsidRDefault="00DF7519" w:rsidP="00B06F6F">
            <w:pPr>
              <w:spacing w:after="0" w:line="240" w:lineRule="auto"/>
              <w:rPr>
                <w:rFonts w:ascii="Times New Roman" w:eastAsia="Calibri" w:hAnsi="Times New Roman" w:cs="Times New Roman"/>
                <w:sz w:val="20"/>
                <w:szCs w:val="20"/>
              </w:rPr>
            </w:pPr>
            <w:r w:rsidRPr="00F06730">
              <w:rPr>
                <w:rFonts w:ascii="Times New Roman" w:eastAsia="Calibri" w:hAnsi="Times New Roman" w:cs="Times New Roman"/>
                <w:sz w:val="20"/>
                <w:szCs w:val="20"/>
              </w:rPr>
              <w:t>млн руб. без НДС</w:t>
            </w:r>
          </w:p>
        </w:tc>
        <w:tc>
          <w:tcPr>
            <w:tcW w:w="1275" w:type="dxa"/>
            <w:tcBorders>
              <w:top w:val="single" w:sz="4" w:space="0" w:color="auto"/>
              <w:left w:val="nil"/>
              <w:bottom w:val="single" w:sz="4" w:space="0" w:color="auto"/>
              <w:right w:val="single" w:sz="4" w:space="0" w:color="auto"/>
            </w:tcBorders>
            <w:shd w:val="clear" w:color="000000" w:fill="FFFFFF"/>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6,61</w:t>
            </w:r>
          </w:p>
        </w:tc>
        <w:tc>
          <w:tcPr>
            <w:tcW w:w="1276" w:type="dxa"/>
            <w:tcBorders>
              <w:top w:val="nil"/>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6</w:t>
            </w:r>
            <w:r w:rsidRPr="00F150CE">
              <w:rPr>
                <w:rFonts w:ascii="Times New Roman" w:eastAsia="Calibri" w:hAnsi="Times New Roman" w:cs="Times New Roman"/>
                <w:sz w:val="20"/>
                <w:szCs w:val="20"/>
              </w:rPr>
              <w:t>,</w:t>
            </w:r>
            <w:r>
              <w:rPr>
                <w:rFonts w:ascii="Times New Roman" w:eastAsia="Calibri" w:hAnsi="Times New Roman" w:cs="Times New Roman"/>
                <w:sz w:val="20"/>
                <w:szCs w:val="20"/>
              </w:rPr>
              <w:t>61</w:t>
            </w:r>
          </w:p>
        </w:tc>
        <w:tc>
          <w:tcPr>
            <w:tcW w:w="1701" w:type="dxa"/>
            <w:tcBorders>
              <w:top w:val="single" w:sz="4" w:space="0" w:color="auto"/>
              <w:left w:val="nil"/>
              <w:bottom w:val="single" w:sz="4" w:space="0" w:color="auto"/>
              <w:right w:val="single" w:sz="4" w:space="0" w:color="auto"/>
            </w:tcBorders>
            <w:shd w:val="clear" w:color="auto" w:fill="auto"/>
            <w:vAlign w:val="center"/>
          </w:tcPr>
          <w:p w:rsidR="00DF7519" w:rsidRPr="0006551D" w:rsidRDefault="00DF7519" w:rsidP="00B06F6F">
            <w:pPr>
              <w:spacing w:after="0" w:line="240" w:lineRule="auto"/>
              <w:jc w:val="center"/>
              <w:rPr>
                <w:rFonts w:ascii="Times New Roman" w:eastAsia="Calibri" w:hAnsi="Times New Roman" w:cs="Times New Roman"/>
                <w:sz w:val="20"/>
                <w:szCs w:val="20"/>
              </w:rPr>
            </w:pPr>
            <w:r>
              <w:rPr>
                <w:rFonts w:ascii="Times New Roman" w:eastAsia="Calibri" w:hAnsi="Times New Roman" w:cs="Times New Roman"/>
                <w:sz w:val="20"/>
                <w:szCs w:val="20"/>
              </w:rPr>
              <w:t>0</w:t>
            </w:r>
            <w:r w:rsidRPr="00EC028F">
              <w:rPr>
                <w:rFonts w:ascii="Times New Roman" w:eastAsia="Calibri" w:hAnsi="Times New Roman" w:cs="Times New Roman"/>
                <w:sz w:val="20"/>
                <w:szCs w:val="20"/>
              </w:rPr>
              <w:t>%</w:t>
            </w:r>
          </w:p>
        </w:tc>
      </w:tr>
    </w:tbl>
    <w:p w:rsidR="00DF7519" w:rsidRPr="0006551D" w:rsidRDefault="00DF7519" w:rsidP="00DF7519">
      <w:pPr>
        <w:spacing w:after="0" w:line="240" w:lineRule="auto"/>
        <w:rPr>
          <w:rFonts w:ascii="Times New Roman" w:eastAsia="Calibri" w:hAnsi="Times New Roman" w:cs="Times New Roman"/>
          <w:sz w:val="24"/>
          <w:szCs w:val="24"/>
        </w:rPr>
      </w:pPr>
    </w:p>
    <w:p w:rsidR="00DF7519" w:rsidRPr="0006551D" w:rsidRDefault="00DF7519" w:rsidP="00DF7519">
      <w:pPr>
        <w:spacing w:after="0" w:line="240" w:lineRule="auto"/>
        <w:ind w:firstLine="709"/>
        <w:rPr>
          <w:rFonts w:ascii="Times New Roman" w:eastAsia="Times New Roman" w:hAnsi="Times New Roman" w:cs="Times New Roman"/>
          <w:sz w:val="24"/>
          <w:szCs w:val="28"/>
          <w:lang w:eastAsia="ru-RU"/>
        </w:rPr>
      </w:pPr>
      <w:r w:rsidRPr="0006551D">
        <w:rPr>
          <w:rFonts w:ascii="Times New Roman" w:eastAsia="Times New Roman" w:hAnsi="Times New Roman" w:cs="Times New Roman"/>
          <w:sz w:val="24"/>
          <w:szCs w:val="28"/>
          <w:lang w:eastAsia="ru-RU"/>
        </w:rPr>
        <w:t>Иные вид</w:t>
      </w:r>
      <w:r>
        <w:rPr>
          <w:rFonts w:ascii="Times New Roman" w:eastAsia="Times New Roman" w:hAnsi="Times New Roman" w:cs="Times New Roman"/>
          <w:sz w:val="24"/>
          <w:szCs w:val="28"/>
          <w:lang w:eastAsia="ru-RU"/>
        </w:rPr>
        <w:t>ы энергетических ресурсов в 2023</w:t>
      </w:r>
      <w:r w:rsidRPr="0006551D">
        <w:rPr>
          <w:rFonts w:ascii="Times New Roman" w:eastAsia="Times New Roman" w:hAnsi="Times New Roman" w:cs="Times New Roman"/>
          <w:sz w:val="24"/>
          <w:szCs w:val="28"/>
          <w:lang w:eastAsia="ru-RU"/>
        </w:rPr>
        <w:t xml:space="preserve"> году Обществом не потреблялись.</w:t>
      </w:r>
    </w:p>
    <w:p w:rsidR="00316631" w:rsidRPr="00B369F9" w:rsidRDefault="00316631" w:rsidP="00316631">
      <w:pPr>
        <w:tabs>
          <w:tab w:val="left" w:pos="993"/>
        </w:tabs>
        <w:spacing w:after="0" w:line="240" w:lineRule="auto"/>
        <w:ind w:firstLine="709"/>
        <w:jc w:val="both"/>
        <w:rPr>
          <w:rFonts w:ascii="Times New Roman" w:hAnsi="Times New Roman" w:cs="Times New Roman"/>
          <w:sz w:val="24"/>
          <w:szCs w:val="24"/>
        </w:rPr>
      </w:pPr>
    </w:p>
    <w:p w:rsidR="00334675" w:rsidRPr="00B369F9" w:rsidRDefault="00334675" w:rsidP="00334675">
      <w:pPr>
        <w:pStyle w:val="1"/>
        <w:ind w:firstLine="709"/>
      </w:pPr>
      <w:bookmarkStart w:id="33" w:name="_Toc163738873"/>
      <w:r w:rsidRPr="00B369F9">
        <w:t>Информация о реализации непрофильных активов в 202</w:t>
      </w:r>
      <w:r w:rsidR="00EC0752" w:rsidRPr="00B369F9">
        <w:t>3</w:t>
      </w:r>
      <w:r w:rsidRPr="00B369F9">
        <w:t xml:space="preserve"> году</w:t>
      </w:r>
      <w:bookmarkEnd w:id="33"/>
    </w:p>
    <w:p w:rsidR="00334675" w:rsidRPr="00B369F9" w:rsidRDefault="00334675" w:rsidP="00334675">
      <w:pPr>
        <w:tabs>
          <w:tab w:val="left" w:pos="993"/>
        </w:tabs>
        <w:spacing w:after="0" w:line="240" w:lineRule="auto"/>
        <w:ind w:firstLine="709"/>
        <w:jc w:val="both"/>
        <w:rPr>
          <w:rFonts w:ascii="Times New Roman" w:hAnsi="Times New Roman" w:cs="Times New Roman"/>
          <w:sz w:val="24"/>
          <w:szCs w:val="24"/>
        </w:rPr>
      </w:pPr>
    </w:p>
    <w:p w:rsidR="00E74FB8" w:rsidRPr="00B369F9" w:rsidRDefault="00E74FB8" w:rsidP="00E74FB8">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Во исполнение Указа Президента Российской Федерации от 07.05.2012 № 596 и распоряжения Правительства Российской Федерации от 10.05.2017 № 894 р (в редакции распоряжения Правительства Российской Федерации от 19.04.2023 № 985-р) решением Совета директоров Общества 25.10.2023 (протокол от 25.10.2023 № 315) утверждена новая редакция Программы отчуждения непрофильных активов Общества (далее – Программа). До принятия вышеуказанного решения в Обществе действовала Программа, утвержденная решением Совета директоров Общества 14.01.2022 (протокол от 17.01.2022 № 249).</w:t>
      </w:r>
    </w:p>
    <w:p w:rsidR="00E74FB8" w:rsidRPr="00B369F9" w:rsidRDefault="00E74FB8" w:rsidP="00E74FB8">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Программа отражает принципы и механизм выявления и отчуждения непрофильных активов Общества, а также устанавливает критерии отнесения активов Общества к непрофильным активам, порядок формирования и утверждения реестра непрофильных активов и плана мероприятий по отчуждению непрофильных активов.</w:t>
      </w:r>
    </w:p>
    <w:p w:rsidR="00E74FB8" w:rsidRPr="00B369F9" w:rsidRDefault="00E74FB8" w:rsidP="00E74FB8">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В 2023 году непрофильные активы в Обществе не выявлены, в связи с чем Реестр непрофильных активов не утверждался, отчуждение непрофильных активов не проводилось.</w:t>
      </w:r>
    </w:p>
    <w:p w:rsidR="00334675" w:rsidRPr="00B369F9" w:rsidRDefault="00E74FB8" w:rsidP="00E74FB8">
      <w:pPr>
        <w:tabs>
          <w:tab w:val="left" w:pos="993"/>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Ссылка на раскрытие информации: </w:t>
      </w:r>
      <w:hyperlink r:id="rId35" w:history="1">
        <w:r w:rsidRPr="00B369F9">
          <w:rPr>
            <w:rStyle w:val="af4"/>
            <w:rFonts w:ascii="Times New Roman" w:hAnsi="Times New Roman" w:cs="Times New Roman"/>
            <w:sz w:val="24"/>
            <w:szCs w:val="24"/>
          </w:rPr>
          <w:t>http://chechenergo.ru/index.php/aktsioneram-i-investoram/ob-yavleniya</w:t>
        </w:r>
      </w:hyperlink>
      <w:r w:rsidRPr="00B369F9">
        <w:rPr>
          <w:rFonts w:ascii="Times New Roman" w:hAnsi="Times New Roman" w:cs="Times New Roman"/>
          <w:sz w:val="24"/>
          <w:szCs w:val="24"/>
        </w:rPr>
        <w:t>.</w:t>
      </w:r>
    </w:p>
    <w:p w:rsidR="00E74FB8" w:rsidRPr="00B369F9" w:rsidRDefault="00E74FB8" w:rsidP="00334675">
      <w:pPr>
        <w:tabs>
          <w:tab w:val="left" w:pos="993"/>
        </w:tabs>
        <w:spacing w:after="0" w:line="240" w:lineRule="auto"/>
        <w:ind w:firstLine="709"/>
        <w:jc w:val="both"/>
        <w:rPr>
          <w:rFonts w:ascii="Times New Roman" w:hAnsi="Times New Roman" w:cs="Times New Roman"/>
          <w:sz w:val="24"/>
          <w:szCs w:val="24"/>
        </w:rPr>
      </w:pPr>
    </w:p>
    <w:p w:rsidR="00116471" w:rsidRPr="00B369F9" w:rsidRDefault="00116471" w:rsidP="00116471">
      <w:pPr>
        <w:pStyle w:val="1"/>
        <w:ind w:right="-143" w:firstLine="709"/>
        <w:rPr>
          <w:b w:val="0"/>
          <w:bCs w:val="0"/>
        </w:rPr>
      </w:pPr>
      <w:bookmarkStart w:id="34" w:name="_Toc163738874"/>
      <w:r w:rsidRPr="00B369F9">
        <w:t>Отчет о корпоративном управлении</w:t>
      </w:r>
      <w:bookmarkEnd w:id="29"/>
      <w:bookmarkEnd w:id="34"/>
    </w:p>
    <w:p w:rsidR="00116471" w:rsidRPr="00B369F9" w:rsidRDefault="00116471" w:rsidP="00116471">
      <w:pPr>
        <w:pStyle w:val="2"/>
        <w:ind w:right="-143" w:firstLine="709"/>
        <w:rPr>
          <w:sz w:val="24"/>
        </w:rPr>
      </w:pPr>
      <w:bookmarkStart w:id="35" w:name="_Toc473537022"/>
    </w:p>
    <w:p w:rsidR="00116471" w:rsidRPr="00B369F9" w:rsidRDefault="00116471" w:rsidP="00116471">
      <w:pPr>
        <w:pStyle w:val="1"/>
        <w:ind w:firstLine="709"/>
      </w:pPr>
      <w:bookmarkStart w:id="36" w:name="_Toc163738875"/>
      <w:r w:rsidRPr="00B369F9">
        <w:t>Общая информация о корпоративном управлении в Компании</w:t>
      </w:r>
      <w:bookmarkEnd w:id="35"/>
      <w:bookmarkEnd w:id="36"/>
    </w:p>
    <w:p w:rsidR="00116471" w:rsidRPr="00B369F9" w:rsidRDefault="00116471" w:rsidP="00116471">
      <w:pPr>
        <w:spacing w:after="0" w:line="240" w:lineRule="auto"/>
        <w:rPr>
          <w:sz w:val="24"/>
          <w:szCs w:val="24"/>
          <w:lang w:eastAsia="ru-RU"/>
        </w:rPr>
      </w:pPr>
    </w:p>
    <w:p w:rsidR="00116471" w:rsidRPr="00B369F9" w:rsidRDefault="00116471" w:rsidP="00116471">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Согласно п. 9.1 ст. 9 Устава Общества органами управления Общества являются:</w:t>
      </w:r>
    </w:p>
    <w:p w:rsidR="00116471" w:rsidRPr="00B369F9" w:rsidRDefault="00116471" w:rsidP="00116471">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Общее собрание акционеров; </w:t>
      </w:r>
    </w:p>
    <w:p w:rsidR="00116471" w:rsidRPr="00B369F9" w:rsidRDefault="00116471" w:rsidP="00116471">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Совет директоров; </w:t>
      </w:r>
    </w:p>
    <w:p w:rsidR="00116471" w:rsidRPr="00B369F9" w:rsidRDefault="00116471" w:rsidP="00116471">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Правление;</w:t>
      </w:r>
    </w:p>
    <w:p w:rsidR="00116471" w:rsidRPr="00B369F9" w:rsidRDefault="00116471" w:rsidP="00116471">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xml:space="preserve">- Генеральный директор. </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Согласно п. 9.2 ст. 9 Устава Общества органом контроля за финансово-хозяйственной деятельностью Общества является Ревизионная комиссия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Корпоративное управление в Обществе построено на соблюдении Обществом законодательства Российской Федерации, основывается на уважении прав и законных интересов акционеров, направлено на повышение эффективности деятельности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Деятельность органов управления и контроля Общества регулируется Федеральным законом от 26.12.1995 № 208-ФЗ «Об акционерных обществах» (далее – Федеральный закон «Об акционерных обществах»), Гражданским Кодексом Российской Федерации, Уставом АО «Чеченэнерго», утвержденным решением годового Общего собрания акционеров 19.05.2021 (протокол от 20.05.2021 № 23), с учетом всех внесенных изменений и следующими основными внутренними документами:</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об Общем собрании акционеров АО «Чеченэнерго», утвержденным решением годового Общего собрания акционеров 21.06.2019 (протокол от 24.06.2019 № 19);</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Совете директоров АО «Чеченэнерго», утвержденным решением годового Общего собрания акционеров 29.05.2020 (протокол от 29.05.2020 № 21);</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Правлении АО «Чеченэнерго», утвержденным решением годового Общего собрания акционеров 19.05.2021 (протокол от 20.05.2021 № 23);</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Ревизионной комиссии АО «Чеченэнерго», утвержденным решением годового Общего собрания акционеров 22.06.2022 (протокол от 22.06.2022 № 25);</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выплате членам Совета директоров АО «Чеченэнерго» вознаграждений и компенсаций, утвержденным решением годового Общего собрания акционеров 21.06.2019 (протокол от 24.06.2019 № 19);</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выплате членам Ревизионной комиссии АО «Чеченэнерго» вознаграждений и компенсаций, утвержденным решением годового Общего собрания акционеров 01.06.2018 (протокол от 04.06.2018 № 18);</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Положением о дивидендной политике АО «Чеченэнерго», утвержденным решением Совета директоров 05.02.2018 (протокол от 06.02.2018 № 149), с учетом изменений, внесенных в Положение о дивидендной политике АО «Чеченэнерго» в соответствии с решением Совета директоров от 09.08.2018 (протокол от 10.08.2018 № 162).</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Общество обеспечивает соблюдение прав и законных интересов акционеров Общества, инвесторов и других заинтересованных лиц, руководствуясь в своей деятельности следующими принципами:</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 xml:space="preserve">обеспечение прав акционеров и других заинтересованных сторон, основанное на четком соблюдении норм законодательства Российской Федерации; </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 xml:space="preserve">раскрытие Обществом информации о своей деятельности в объеме, достаточном для принятия акционерами и другими заинтересованными сторонами взвешенных решений; </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 xml:space="preserve">повышение качества корпоративного управления в Обществе; </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выполнение обязательств перед акционерами и кредиторами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Указанные принципы корпоративного управления Общества обеспечивают:</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 xml:space="preserve">возможность осуществления акционерами своих прав, связанных с участием в Обществе на основе: </w:t>
      </w:r>
    </w:p>
    <w:p w:rsidR="00116471" w:rsidRPr="00B369F9" w:rsidRDefault="00116471" w:rsidP="00116471">
      <w:pPr>
        <w:spacing w:after="0" w:line="240" w:lineRule="auto"/>
        <w:ind w:right="-142" w:firstLine="1134"/>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обеспечения прав акционеров на участие в управлении Обществом, в том числе путем принятия решений по вопросам деятельности Общества на Общем собрании акционеров;</w:t>
      </w:r>
    </w:p>
    <w:p w:rsidR="00116471" w:rsidRPr="00B369F9" w:rsidRDefault="00116471" w:rsidP="00116471">
      <w:pPr>
        <w:spacing w:after="0" w:line="240" w:lineRule="auto"/>
        <w:ind w:right="-142" w:firstLine="1134"/>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получения информации о деятельности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возможность получения акционерами эффективной защиты в случае нарушения их прав;</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осуществление Советом директоров стратегического управления деятельностью Общества и эффективного контроля с его стороны за деятельностью исполнительного органа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w:t>
      </w:r>
      <w:r w:rsidRPr="00B369F9">
        <w:rPr>
          <w:rFonts w:ascii="Times New Roman" w:hAnsi="Times New Roman" w:cs="Times New Roman"/>
          <w:sz w:val="24"/>
          <w:szCs w:val="24"/>
        </w:rPr>
        <w:tab/>
        <w:t>подотчетность исполнительного органа Общества Совету директоров и акционерам;</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w:t>
      </w:r>
      <w:r w:rsidRPr="00B369F9">
        <w:rPr>
          <w:rFonts w:ascii="Times New Roman" w:hAnsi="Times New Roman" w:cs="Times New Roman"/>
          <w:sz w:val="24"/>
          <w:szCs w:val="24"/>
        </w:rPr>
        <w:tab/>
        <w:t>эффективный контроль и оценку качества управления финансово-хозяйственной деятельностью Общества за счет системы бизнес-планирования и бюджетирования деятельности Общества с ежеквартальными отчетами Совету директоров об исполнении утвержденных им бизнес-планов.</w:t>
      </w:r>
    </w:p>
    <w:p w:rsidR="00116471" w:rsidRPr="00B369F9" w:rsidRDefault="009806F9" w:rsidP="00116471">
      <w:pPr>
        <w:spacing w:after="0" w:line="240" w:lineRule="auto"/>
        <w:ind w:right="-142" w:firstLine="709"/>
        <w:contextualSpacing/>
        <w:jc w:val="both"/>
        <w:rPr>
          <w:rFonts w:ascii="Times New Roman" w:hAnsi="Times New Roman" w:cs="Times New Roman"/>
          <w:sz w:val="24"/>
          <w:szCs w:val="24"/>
        </w:rPr>
      </w:pPr>
      <w:r w:rsidRPr="009806F9">
        <w:rPr>
          <w:rFonts w:ascii="Times New Roman" w:hAnsi="Times New Roman" w:cs="Times New Roman"/>
          <w:sz w:val="24"/>
          <w:szCs w:val="24"/>
        </w:rPr>
        <w:t>Несмотря на то, что ценные бумаги Общества не допущены к организованным торгам, Общество стремится следовать отдельным рекомендациям и принципам Кодекса корпоративного управления, одобренного Советом директоров Банка России 21.03.2014 (письмо Банка России от 10.04.2014 № 06-52/2463): обеспечивает акционерам возможность участия в управлении Обществом, знакомиться с информацией о деятельности Общества в соответствии с Федеральным законом «Об акционерных обществах</w:t>
      </w:r>
      <w:r>
        <w:rPr>
          <w:rFonts w:ascii="Times New Roman" w:hAnsi="Times New Roman" w:cs="Times New Roman"/>
          <w:sz w:val="24"/>
          <w:szCs w:val="24"/>
        </w:rPr>
        <w:t>»</w:t>
      </w:r>
      <w:r w:rsidR="00116471" w:rsidRPr="00B369F9">
        <w:rPr>
          <w:rFonts w:ascii="Times New Roman" w:hAnsi="Times New Roman" w:cs="Times New Roman"/>
          <w:sz w:val="24"/>
          <w:szCs w:val="24"/>
        </w:rPr>
        <w:t>.</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В 202</w:t>
      </w:r>
      <w:r w:rsidR="009113A3" w:rsidRPr="00B369F9">
        <w:rPr>
          <w:rFonts w:ascii="Times New Roman" w:hAnsi="Times New Roman" w:cs="Times New Roman"/>
          <w:sz w:val="24"/>
          <w:szCs w:val="24"/>
        </w:rPr>
        <w:t>3</w:t>
      </w:r>
      <w:r w:rsidRPr="00B369F9">
        <w:rPr>
          <w:rFonts w:ascii="Times New Roman" w:hAnsi="Times New Roman" w:cs="Times New Roman"/>
          <w:sz w:val="24"/>
          <w:szCs w:val="24"/>
        </w:rPr>
        <w:t xml:space="preserve"> году Общество публиковало информацию о своей деятельности на сайте Общества в сети Интернет </w:t>
      </w:r>
      <w:hyperlink r:id="rId36" w:history="1">
        <w:r w:rsidRPr="00B369F9">
          <w:rPr>
            <w:rStyle w:val="af4"/>
            <w:rFonts w:ascii="Times New Roman" w:hAnsi="Times New Roman" w:cs="Times New Roman"/>
            <w:sz w:val="24"/>
            <w:szCs w:val="24"/>
          </w:rPr>
          <w:t>http://www.chechenergo.ru</w:t>
        </w:r>
      </w:hyperlink>
      <w:r w:rsidRPr="00B369F9">
        <w:rPr>
          <w:rFonts w:ascii="Times New Roman" w:hAnsi="Times New Roman" w:cs="Times New Roman"/>
          <w:sz w:val="24"/>
          <w:szCs w:val="24"/>
        </w:rPr>
        <w:t>.</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Основными изменениями в области корпоративного управления Общества в 202</w:t>
      </w:r>
      <w:r w:rsidR="00B93D58" w:rsidRPr="00B369F9">
        <w:rPr>
          <w:rFonts w:ascii="Times New Roman" w:hAnsi="Times New Roman" w:cs="Times New Roman"/>
          <w:sz w:val="24"/>
          <w:szCs w:val="24"/>
        </w:rPr>
        <w:t>3</w:t>
      </w:r>
      <w:r w:rsidRPr="00B369F9">
        <w:rPr>
          <w:rFonts w:ascii="Times New Roman" w:hAnsi="Times New Roman" w:cs="Times New Roman"/>
          <w:sz w:val="24"/>
          <w:szCs w:val="24"/>
        </w:rPr>
        <w:t> году являются:</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избрание Совета директоров и Ревизионной комиссии Общества в новых составах.</w:t>
      </w:r>
    </w:p>
    <w:p w:rsidR="00116471" w:rsidRPr="00B369F9" w:rsidRDefault="00116471" w:rsidP="00116471">
      <w:pPr>
        <w:spacing w:after="0" w:line="240" w:lineRule="auto"/>
        <w:ind w:firstLine="709"/>
        <w:jc w:val="both"/>
        <w:rPr>
          <w:sz w:val="24"/>
          <w:szCs w:val="24"/>
          <w:lang w:eastAsia="ru-RU"/>
        </w:rPr>
      </w:pPr>
      <w:r w:rsidRPr="00B369F9">
        <w:rPr>
          <w:rFonts w:ascii="Times New Roman" w:hAnsi="Times New Roman" w:cs="Times New Roman"/>
          <w:sz w:val="24"/>
          <w:szCs w:val="24"/>
        </w:rPr>
        <w:t>Оценка уровня корпоративного управления в Обществе в 202</w:t>
      </w:r>
      <w:r w:rsidR="00D22E68" w:rsidRPr="00B369F9">
        <w:rPr>
          <w:rFonts w:ascii="Times New Roman" w:hAnsi="Times New Roman" w:cs="Times New Roman"/>
          <w:sz w:val="24"/>
          <w:szCs w:val="24"/>
        </w:rPr>
        <w:t>3</w:t>
      </w:r>
      <w:r w:rsidRPr="00B369F9">
        <w:rPr>
          <w:rFonts w:ascii="Times New Roman" w:hAnsi="Times New Roman" w:cs="Times New Roman"/>
          <w:sz w:val="24"/>
          <w:szCs w:val="24"/>
        </w:rPr>
        <w:t xml:space="preserve"> году не проводилась.</w:t>
      </w:r>
    </w:p>
    <w:p w:rsidR="00116471" w:rsidRPr="00B369F9" w:rsidRDefault="00116471" w:rsidP="00116471">
      <w:pPr>
        <w:spacing w:after="0" w:line="240" w:lineRule="auto"/>
        <w:rPr>
          <w:sz w:val="24"/>
          <w:szCs w:val="24"/>
          <w:lang w:eastAsia="ru-RU"/>
        </w:rPr>
      </w:pPr>
    </w:p>
    <w:p w:rsidR="00116471" w:rsidRPr="00B369F9" w:rsidRDefault="00116471" w:rsidP="00116471">
      <w:pPr>
        <w:pStyle w:val="1"/>
        <w:ind w:firstLine="709"/>
      </w:pPr>
      <w:bookmarkStart w:id="37" w:name="_Toc163738876"/>
      <w:r w:rsidRPr="00B369F9">
        <w:t>Общее собрание акционеров</w:t>
      </w:r>
      <w:bookmarkEnd w:id="37"/>
      <w:r w:rsidRPr="00B369F9">
        <w:t xml:space="preserve"> </w:t>
      </w:r>
    </w:p>
    <w:p w:rsidR="00116471" w:rsidRPr="00B369F9" w:rsidRDefault="00116471" w:rsidP="00116471">
      <w:pPr>
        <w:spacing w:after="0" w:line="240" w:lineRule="auto"/>
        <w:rPr>
          <w:sz w:val="24"/>
          <w:szCs w:val="24"/>
          <w:lang w:eastAsia="ru-RU"/>
        </w:rPr>
      </w:pPr>
    </w:p>
    <w:p w:rsidR="00116471" w:rsidRPr="00B369F9" w:rsidRDefault="00116471" w:rsidP="00116471">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Общее собрание акционеров является высшим органом управления АО «Чеченэнерго». </w:t>
      </w:r>
    </w:p>
    <w:p w:rsidR="00116471" w:rsidRPr="00B369F9" w:rsidRDefault="00116471" w:rsidP="00116471">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Компетенция Общего собрания акционеров установлена ст. 48 Федерального закона «Об акционерных обществах» и ст. 10 Устава АО «Чеченэнерго».</w:t>
      </w:r>
    </w:p>
    <w:p w:rsidR="00116471" w:rsidRPr="00B369F9" w:rsidRDefault="00116471" w:rsidP="00116471">
      <w:pPr>
        <w:spacing w:after="0" w:line="240" w:lineRule="auto"/>
        <w:ind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Руководствуясь ст. 47 Федерального закона «Об акционерных обществах», Общество обязано ежегодно проводить годовое Общее собрание акционеров.</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В отчетном году проведено </w:t>
      </w:r>
      <w:r w:rsidR="00DB07BC" w:rsidRPr="00B369F9">
        <w:rPr>
          <w:rFonts w:ascii="Times New Roman" w:hAnsi="Times New Roman" w:cs="Times New Roman"/>
          <w:sz w:val="24"/>
          <w:szCs w:val="24"/>
        </w:rPr>
        <w:t>одно</w:t>
      </w:r>
      <w:r w:rsidRPr="00B369F9">
        <w:rPr>
          <w:rFonts w:ascii="Times New Roman" w:hAnsi="Times New Roman" w:cs="Times New Roman"/>
          <w:sz w:val="24"/>
          <w:szCs w:val="24"/>
        </w:rPr>
        <w:t xml:space="preserve"> Общ</w:t>
      </w:r>
      <w:r w:rsidR="00DB07BC" w:rsidRPr="00B369F9">
        <w:rPr>
          <w:rFonts w:ascii="Times New Roman" w:hAnsi="Times New Roman" w:cs="Times New Roman"/>
          <w:sz w:val="24"/>
          <w:szCs w:val="24"/>
        </w:rPr>
        <w:t>ее</w:t>
      </w:r>
      <w:r w:rsidRPr="00B369F9">
        <w:rPr>
          <w:rFonts w:ascii="Times New Roman" w:hAnsi="Times New Roman" w:cs="Times New Roman"/>
          <w:sz w:val="24"/>
          <w:szCs w:val="24"/>
        </w:rPr>
        <w:t xml:space="preserve"> собрани</w:t>
      </w:r>
      <w:r w:rsidR="00DB07BC" w:rsidRPr="00B369F9">
        <w:rPr>
          <w:rFonts w:ascii="Times New Roman" w:hAnsi="Times New Roman" w:cs="Times New Roman"/>
          <w:sz w:val="24"/>
          <w:szCs w:val="24"/>
        </w:rPr>
        <w:t>е</w:t>
      </w:r>
      <w:r w:rsidRPr="00B369F9">
        <w:rPr>
          <w:rFonts w:ascii="Times New Roman" w:hAnsi="Times New Roman" w:cs="Times New Roman"/>
          <w:sz w:val="24"/>
          <w:szCs w:val="24"/>
        </w:rPr>
        <w:t xml:space="preserve"> акционеров Общества – годовое.</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На годовом Общем собрании акционеров Общества, состоявшемся </w:t>
      </w:r>
      <w:r w:rsidR="0051798F" w:rsidRPr="00B369F9">
        <w:rPr>
          <w:rFonts w:ascii="Times New Roman" w:hAnsi="Times New Roman" w:cs="Times New Roman"/>
          <w:sz w:val="24"/>
          <w:szCs w:val="24"/>
        </w:rPr>
        <w:t>06</w:t>
      </w:r>
      <w:r w:rsidRPr="00B369F9">
        <w:rPr>
          <w:rFonts w:ascii="Times New Roman" w:hAnsi="Times New Roman" w:cs="Times New Roman"/>
          <w:sz w:val="24"/>
          <w:szCs w:val="24"/>
        </w:rPr>
        <w:t>.06.202</w:t>
      </w:r>
      <w:r w:rsidR="0051798F" w:rsidRPr="00B369F9">
        <w:rPr>
          <w:rFonts w:ascii="Times New Roman" w:hAnsi="Times New Roman" w:cs="Times New Roman"/>
          <w:sz w:val="24"/>
          <w:szCs w:val="24"/>
        </w:rPr>
        <w:t>3</w:t>
      </w:r>
      <w:r w:rsidRPr="00B369F9">
        <w:rPr>
          <w:rFonts w:ascii="Times New Roman" w:hAnsi="Times New Roman" w:cs="Times New Roman"/>
          <w:sz w:val="24"/>
          <w:szCs w:val="24"/>
        </w:rPr>
        <w:t xml:space="preserve"> (протокол от </w:t>
      </w:r>
      <w:r w:rsidR="0051798F" w:rsidRPr="00B369F9">
        <w:rPr>
          <w:rFonts w:ascii="Times New Roman" w:hAnsi="Times New Roman" w:cs="Times New Roman"/>
          <w:sz w:val="24"/>
          <w:szCs w:val="24"/>
        </w:rPr>
        <w:t>07</w:t>
      </w:r>
      <w:r w:rsidRPr="00B369F9">
        <w:rPr>
          <w:rFonts w:ascii="Times New Roman" w:hAnsi="Times New Roman" w:cs="Times New Roman"/>
          <w:sz w:val="24"/>
          <w:szCs w:val="24"/>
        </w:rPr>
        <w:t>.06.202</w:t>
      </w:r>
      <w:r w:rsidR="0051798F" w:rsidRPr="00B369F9">
        <w:rPr>
          <w:rFonts w:ascii="Times New Roman" w:hAnsi="Times New Roman" w:cs="Times New Roman"/>
          <w:sz w:val="24"/>
          <w:szCs w:val="24"/>
        </w:rPr>
        <w:t>3</w:t>
      </w:r>
      <w:r w:rsidRPr="00B369F9">
        <w:rPr>
          <w:rFonts w:ascii="Times New Roman" w:hAnsi="Times New Roman" w:cs="Times New Roman"/>
          <w:sz w:val="24"/>
          <w:szCs w:val="24"/>
        </w:rPr>
        <w:t xml:space="preserve"> № 2</w:t>
      </w:r>
      <w:r w:rsidR="0051798F" w:rsidRPr="00B369F9">
        <w:rPr>
          <w:rFonts w:ascii="Times New Roman" w:hAnsi="Times New Roman" w:cs="Times New Roman"/>
          <w:sz w:val="24"/>
          <w:szCs w:val="24"/>
        </w:rPr>
        <w:t>7</w:t>
      </w:r>
      <w:r w:rsidRPr="00B369F9">
        <w:rPr>
          <w:rFonts w:ascii="Times New Roman" w:hAnsi="Times New Roman" w:cs="Times New Roman"/>
          <w:sz w:val="24"/>
          <w:szCs w:val="24"/>
        </w:rPr>
        <w:t>), были приняты следующие решения:</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утвердить годовой отчет, годовую бухгалтерскую (финансовую) отчетность Общества за 202</w:t>
      </w:r>
      <w:r w:rsidR="0051798F" w:rsidRPr="00B369F9">
        <w:rPr>
          <w:rFonts w:ascii="Times New Roman" w:hAnsi="Times New Roman" w:cs="Times New Roman"/>
          <w:sz w:val="24"/>
          <w:szCs w:val="24"/>
        </w:rPr>
        <w:t>2</w:t>
      </w:r>
      <w:r w:rsidRPr="00B369F9">
        <w:rPr>
          <w:rFonts w:ascii="Times New Roman" w:hAnsi="Times New Roman" w:cs="Times New Roman"/>
          <w:sz w:val="24"/>
          <w:szCs w:val="24"/>
        </w:rPr>
        <w:t xml:space="preserve"> год;</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утвердить распределение прибыли (убытков) Общества за 202</w:t>
      </w:r>
      <w:r w:rsidR="0051798F" w:rsidRPr="00B369F9">
        <w:rPr>
          <w:rFonts w:ascii="Times New Roman" w:hAnsi="Times New Roman" w:cs="Times New Roman"/>
          <w:sz w:val="24"/>
          <w:szCs w:val="24"/>
        </w:rPr>
        <w:t>2</w:t>
      </w:r>
      <w:r w:rsidRPr="00B369F9">
        <w:rPr>
          <w:rFonts w:ascii="Times New Roman" w:hAnsi="Times New Roman" w:cs="Times New Roman"/>
          <w:sz w:val="24"/>
          <w:szCs w:val="24"/>
        </w:rPr>
        <w:t xml:space="preserve"> отчетный год;</w:t>
      </w:r>
    </w:p>
    <w:p w:rsidR="00116471" w:rsidRPr="00B369F9" w:rsidRDefault="00116471" w:rsidP="00116471">
      <w:pPr>
        <w:widowControl w:val="0"/>
        <w:tabs>
          <w:tab w:val="left" w:pos="0"/>
          <w:tab w:val="left" w:pos="318"/>
          <w:tab w:val="left" w:pos="851"/>
        </w:tabs>
        <w:spacing w:after="0" w:line="240" w:lineRule="auto"/>
        <w:ind w:firstLine="709"/>
        <w:jc w:val="both"/>
        <w:rPr>
          <w:rFonts w:ascii="Times New Roman" w:hAnsi="Times New Roman" w:cs="Times New Roman"/>
          <w:sz w:val="24"/>
          <w:szCs w:val="24"/>
        </w:rPr>
      </w:pPr>
      <w:r w:rsidRPr="00B369F9">
        <w:rPr>
          <w:rFonts w:ascii="Times New Roman" w:hAnsi="Times New Roman" w:cs="Times New Roman"/>
          <w:sz w:val="24"/>
          <w:szCs w:val="24"/>
        </w:rPr>
        <w:t>- не выплачивать дивиденды по обыкновенным акциям Общества по итогам 202</w:t>
      </w:r>
      <w:r w:rsidR="0051798F" w:rsidRPr="00B369F9">
        <w:rPr>
          <w:rFonts w:ascii="Times New Roman" w:hAnsi="Times New Roman" w:cs="Times New Roman"/>
          <w:sz w:val="24"/>
          <w:szCs w:val="24"/>
        </w:rPr>
        <w:t>2</w:t>
      </w:r>
      <w:r w:rsidRPr="00B369F9">
        <w:rPr>
          <w:rFonts w:ascii="Times New Roman" w:hAnsi="Times New Roman" w:cs="Times New Roman"/>
          <w:sz w:val="24"/>
          <w:szCs w:val="24"/>
        </w:rPr>
        <w:t> года, в связи с убытком, полученным АО «Чеченэнерго» по результатам 202</w:t>
      </w:r>
      <w:r w:rsidR="0051798F" w:rsidRPr="00B369F9">
        <w:rPr>
          <w:rFonts w:ascii="Times New Roman" w:hAnsi="Times New Roman" w:cs="Times New Roman"/>
          <w:sz w:val="24"/>
          <w:szCs w:val="24"/>
        </w:rPr>
        <w:t>2</w:t>
      </w:r>
      <w:r w:rsidRPr="00B369F9">
        <w:rPr>
          <w:rFonts w:ascii="Times New Roman" w:hAnsi="Times New Roman" w:cs="Times New Roman"/>
          <w:sz w:val="24"/>
          <w:szCs w:val="24"/>
        </w:rPr>
        <w:t xml:space="preserve"> года;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избрать Совет директоров Общества;</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избрать Ревизионную комиссию Общества;</w:t>
      </w:r>
    </w:p>
    <w:p w:rsidR="00116471" w:rsidRPr="00B369F9" w:rsidRDefault="00116471" w:rsidP="001A1C69">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 </w:t>
      </w:r>
      <w:r w:rsidR="00C7562D" w:rsidRPr="00B369F9">
        <w:rPr>
          <w:rFonts w:ascii="Times New Roman" w:hAnsi="Times New Roman" w:cs="Times New Roman"/>
          <w:sz w:val="24"/>
          <w:szCs w:val="24"/>
        </w:rPr>
        <w:t>назначить</w:t>
      </w:r>
      <w:r w:rsidRPr="00B369F9">
        <w:rPr>
          <w:rFonts w:ascii="Times New Roman" w:hAnsi="Times New Roman" w:cs="Times New Roman"/>
          <w:sz w:val="24"/>
          <w:szCs w:val="24"/>
        </w:rPr>
        <w:t xml:space="preserve"> </w:t>
      </w:r>
      <w:r w:rsidR="00021C6F" w:rsidRPr="00B369F9">
        <w:rPr>
          <w:rFonts w:ascii="Times New Roman" w:hAnsi="Times New Roman" w:cs="Times New Roman"/>
          <w:sz w:val="24"/>
          <w:szCs w:val="24"/>
        </w:rPr>
        <w:t>аудиторской органи</w:t>
      </w:r>
      <w:r w:rsidR="005C7D59">
        <w:rPr>
          <w:rFonts w:ascii="Times New Roman" w:hAnsi="Times New Roman" w:cs="Times New Roman"/>
          <w:sz w:val="24"/>
          <w:szCs w:val="24"/>
        </w:rPr>
        <w:t>з</w:t>
      </w:r>
      <w:r w:rsidR="00021C6F" w:rsidRPr="00B369F9">
        <w:rPr>
          <w:rFonts w:ascii="Times New Roman" w:hAnsi="Times New Roman" w:cs="Times New Roman"/>
          <w:sz w:val="24"/>
          <w:szCs w:val="24"/>
        </w:rPr>
        <w:t xml:space="preserve">ацией АО «Чеченэнерго» </w:t>
      </w:r>
      <w:r w:rsidRPr="00B369F9">
        <w:rPr>
          <w:rFonts w:ascii="Times New Roman" w:hAnsi="Times New Roman" w:cs="Times New Roman"/>
          <w:sz w:val="24"/>
          <w:szCs w:val="24"/>
        </w:rPr>
        <w:t>объединение аудиторов (коллективного участника) в составе ООО «ЦАТР – аудиторские услуги» (лидер коллективного участника) (ИНН 7709383532</w:t>
      </w:r>
      <w:r w:rsidR="00C7562D" w:rsidRPr="00B369F9">
        <w:rPr>
          <w:rFonts w:ascii="Times New Roman" w:hAnsi="Times New Roman" w:cs="Times New Roman"/>
          <w:sz w:val="24"/>
          <w:szCs w:val="24"/>
        </w:rPr>
        <w:t>, КПП 770501001, адрес: 115035, город Москва, Садовническая набережная, дом 77, строение 1</w:t>
      </w:r>
      <w:r w:rsidRPr="00B369F9">
        <w:rPr>
          <w:rFonts w:ascii="Times New Roman" w:hAnsi="Times New Roman" w:cs="Times New Roman"/>
          <w:sz w:val="24"/>
          <w:szCs w:val="24"/>
        </w:rPr>
        <w:t xml:space="preserve">) и </w:t>
      </w:r>
      <w:r w:rsidR="001A1C69" w:rsidRPr="00B369F9">
        <w:rPr>
          <w:rFonts w:ascii="Times New Roman" w:hAnsi="Times New Roman" w:cs="Times New Roman"/>
          <w:sz w:val="24"/>
          <w:szCs w:val="24"/>
        </w:rPr>
        <w:t>ОО</w:t>
      </w:r>
      <w:r w:rsidRPr="00B369F9">
        <w:rPr>
          <w:rFonts w:ascii="Times New Roman" w:hAnsi="Times New Roman" w:cs="Times New Roman"/>
          <w:sz w:val="24"/>
          <w:szCs w:val="24"/>
        </w:rPr>
        <w:t>О «</w:t>
      </w:r>
      <w:r w:rsidR="001A1C69" w:rsidRPr="00B369F9">
        <w:rPr>
          <w:rFonts w:ascii="Times New Roman" w:hAnsi="Times New Roman" w:cs="Times New Roman"/>
          <w:sz w:val="24"/>
          <w:szCs w:val="24"/>
        </w:rPr>
        <w:t>АКК «Кроу Аудекс»</w:t>
      </w:r>
      <w:r w:rsidRPr="00B369F9">
        <w:rPr>
          <w:rFonts w:ascii="Times New Roman" w:hAnsi="Times New Roman" w:cs="Times New Roman"/>
          <w:sz w:val="24"/>
          <w:szCs w:val="24"/>
        </w:rPr>
        <w:t xml:space="preserve">» (ИНН </w:t>
      </w:r>
      <w:r w:rsidR="001A1C69" w:rsidRPr="00B369F9">
        <w:rPr>
          <w:rFonts w:ascii="Times New Roman" w:hAnsi="Times New Roman" w:cs="Times New Roman"/>
          <w:sz w:val="24"/>
          <w:szCs w:val="24"/>
        </w:rPr>
        <w:t>1655301258, КПП 165501001, адрес: Республика Татарстан, город Казань, улица Сафьян, дом 8, этаж 3, помещение 24</w:t>
      </w:r>
      <w:r w:rsidRPr="00B369F9">
        <w:rPr>
          <w:rFonts w:ascii="Times New Roman" w:hAnsi="Times New Roman" w:cs="Times New Roman"/>
          <w:sz w:val="24"/>
          <w:szCs w:val="24"/>
        </w:rPr>
        <w:t>) (член коллективного участника)</w:t>
      </w:r>
      <w:r w:rsidR="00271BC8" w:rsidRPr="00B369F9">
        <w:rPr>
          <w:rFonts w:ascii="Times New Roman" w:hAnsi="Times New Roman" w:cs="Times New Roman"/>
          <w:sz w:val="24"/>
          <w:szCs w:val="24"/>
        </w:rPr>
        <w:t>;</w:t>
      </w:r>
    </w:p>
    <w:p w:rsidR="00271BC8" w:rsidRPr="00B369F9" w:rsidRDefault="00271BC8"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 </w:t>
      </w:r>
      <w:r w:rsidR="00554E8F" w:rsidRPr="00B369F9">
        <w:rPr>
          <w:rFonts w:ascii="Times New Roman" w:hAnsi="Times New Roman" w:cs="Times New Roman"/>
          <w:sz w:val="24"/>
          <w:szCs w:val="24"/>
        </w:rPr>
        <w:t>определить, что количество объявленных обыкновенных акций, которое АО «Чеченэнерго» вправе разместить дополнительно к размещенным обыкновенным акциям, составляет 10 705 462</w:t>
      </w:r>
      <w:r w:rsidR="005D5DC7">
        <w:rPr>
          <w:rFonts w:ascii="Times New Roman" w:hAnsi="Times New Roman" w:cs="Times New Roman"/>
          <w:sz w:val="24"/>
          <w:szCs w:val="24"/>
        </w:rPr>
        <w:t> </w:t>
      </w:r>
      <w:r w:rsidR="00554E8F" w:rsidRPr="00B369F9">
        <w:rPr>
          <w:rFonts w:ascii="Times New Roman" w:hAnsi="Times New Roman" w:cs="Times New Roman"/>
          <w:sz w:val="24"/>
          <w:szCs w:val="24"/>
        </w:rPr>
        <w:t>997</w:t>
      </w:r>
      <w:r w:rsidR="005D5DC7">
        <w:rPr>
          <w:rFonts w:ascii="Times New Roman" w:hAnsi="Times New Roman" w:cs="Times New Roman"/>
          <w:sz w:val="24"/>
          <w:szCs w:val="24"/>
        </w:rPr>
        <w:t xml:space="preserve"> </w:t>
      </w:r>
      <w:r w:rsidR="00554E8F" w:rsidRPr="00B369F9">
        <w:rPr>
          <w:rFonts w:ascii="Times New Roman" w:hAnsi="Times New Roman" w:cs="Times New Roman"/>
          <w:sz w:val="24"/>
          <w:szCs w:val="24"/>
        </w:rPr>
        <w:t>штук номинальной стоимостью 1 (Один) руб</w:t>
      </w:r>
      <w:r w:rsidR="00F14FAB" w:rsidRPr="00B369F9">
        <w:rPr>
          <w:rFonts w:ascii="Times New Roman" w:hAnsi="Times New Roman" w:cs="Times New Roman"/>
          <w:sz w:val="24"/>
          <w:szCs w:val="24"/>
        </w:rPr>
        <w:t>.</w:t>
      </w:r>
      <w:r w:rsidR="00554E8F" w:rsidRPr="00B369F9">
        <w:rPr>
          <w:rFonts w:ascii="Times New Roman" w:hAnsi="Times New Roman" w:cs="Times New Roman"/>
          <w:sz w:val="24"/>
          <w:szCs w:val="24"/>
        </w:rPr>
        <w:t xml:space="preserve"> каждая на общую сумму по номинальной стоимости 10 705 462 997 </w:t>
      </w:r>
      <w:r w:rsidR="00C42A1B" w:rsidRPr="00B369F9">
        <w:rPr>
          <w:rFonts w:ascii="Times New Roman" w:hAnsi="Times New Roman" w:cs="Times New Roman"/>
          <w:sz w:val="24"/>
          <w:szCs w:val="24"/>
        </w:rPr>
        <w:t>руб</w:t>
      </w:r>
      <w:r w:rsidR="009F41C1">
        <w:rPr>
          <w:rFonts w:ascii="Times New Roman" w:hAnsi="Times New Roman" w:cs="Times New Roman"/>
          <w:sz w:val="24"/>
          <w:szCs w:val="24"/>
        </w:rPr>
        <w:t>лей</w:t>
      </w:r>
      <w:r w:rsidR="00C42A1B" w:rsidRPr="00B369F9">
        <w:rPr>
          <w:rFonts w:ascii="Times New Roman" w:hAnsi="Times New Roman" w:cs="Times New Roman"/>
          <w:sz w:val="24"/>
          <w:szCs w:val="24"/>
        </w:rPr>
        <w:t>.</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Обыкновенные акции, объявленные АО «Чеченэнерго» к размещению, предоставляют их владельцам права, предусмотренные пунктом 6.2 Устава АО</w:t>
      </w:r>
      <w:r w:rsidRPr="00B369F9">
        <w:rPr>
          <w:rFonts w:ascii="Times New Roman" w:hAnsi="Times New Roman" w:cs="Times New Roman"/>
          <w:sz w:val="24"/>
          <w:szCs w:val="24"/>
          <w:lang w:val="en-US"/>
        </w:rPr>
        <w:t> </w:t>
      </w:r>
      <w:r w:rsidRPr="00B369F9">
        <w:rPr>
          <w:rFonts w:ascii="Times New Roman" w:hAnsi="Times New Roman" w:cs="Times New Roman"/>
          <w:sz w:val="24"/>
          <w:szCs w:val="24"/>
        </w:rPr>
        <w:t>«Чеченэнерго».</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внести следующие изменения в Устав АО «Чеченэнерго»:</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Изложить абзац первый пункта 4.6 статьи 4 Устава АО «Чеченэнерго» в следующей редакции:</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«4.6. Общество объявляет дополнительно к размещенным обыкновенным акциям 10 705 462 997 (Десять миллиардов семьсот пять миллионов четыреста шестьдесят две тысячи девятьсот девяносто семь) штук обыкновенных акций номинальной стоимостью 1</w:t>
      </w:r>
      <w:r w:rsidR="00CB71A5" w:rsidRPr="00B369F9">
        <w:rPr>
          <w:rFonts w:ascii="Times New Roman" w:hAnsi="Times New Roman" w:cs="Times New Roman"/>
          <w:sz w:val="24"/>
          <w:szCs w:val="24"/>
        </w:rPr>
        <w:t> </w:t>
      </w:r>
      <w:r w:rsidRPr="00B369F9">
        <w:rPr>
          <w:rFonts w:ascii="Times New Roman" w:hAnsi="Times New Roman" w:cs="Times New Roman"/>
          <w:sz w:val="24"/>
          <w:szCs w:val="24"/>
        </w:rPr>
        <w:t>(Один)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каждая на общую сумму по номинальной стоимости 10 705 462 997 (Десять миллиардов семьсот пять миллионов четыреста шестьдесят две тысячи девятьсот девяносто семь) </w:t>
      </w:r>
      <w:r w:rsidR="008343E3" w:rsidRPr="00B369F9">
        <w:rPr>
          <w:rFonts w:ascii="Times New Roman" w:hAnsi="Times New Roman" w:cs="Times New Roman"/>
          <w:sz w:val="24"/>
          <w:szCs w:val="24"/>
        </w:rPr>
        <w:t>руб</w:t>
      </w:r>
      <w:r w:rsidRPr="00B369F9">
        <w:rPr>
          <w:rFonts w:ascii="Times New Roman" w:hAnsi="Times New Roman" w:cs="Times New Roman"/>
          <w:sz w:val="24"/>
          <w:szCs w:val="24"/>
        </w:rPr>
        <w:t>.».</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увеличить уставный капитал АО «Чеченэнерго» путем размещения дополнительных обыкновенных акций в количестве 10 705 462 997 штук номинальной стоимостью 1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каждая на общую сумму по номинальной стоимости акций 10 705 462 997 </w:t>
      </w:r>
      <w:r w:rsidR="00C42A1B" w:rsidRPr="00B369F9">
        <w:rPr>
          <w:rFonts w:ascii="Times New Roman" w:hAnsi="Times New Roman" w:cs="Times New Roman"/>
          <w:sz w:val="24"/>
          <w:szCs w:val="24"/>
        </w:rPr>
        <w:t>руб.</w:t>
      </w:r>
      <w:r w:rsidRPr="00B369F9">
        <w:rPr>
          <w:rFonts w:ascii="Times New Roman" w:hAnsi="Times New Roman" w:cs="Times New Roman"/>
          <w:sz w:val="24"/>
          <w:szCs w:val="24"/>
        </w:rPr>
        <w:t xml:space="preserve"> на следующих основных условиях:</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1. Способ размещения дополнительных обыкновенных акций АО «Чеченэнерго» </w:t>
      </w:r>
      <w:r w:rsidR="005C7D59" w:rsidRPr="00B369F9">
        <w:rPr>
          <w:rFonts w:ascii="Times New Roman" w:hAnsi="Times New Roman" w:cs="Times New Roman"/>
          <w:sz w:val="24"/>
          <w:szCs w:val="24"/>
        </w:rPr>
        <w:t>–</w:t>
      </w:r>
      <w:r w:rsidRPr="00B369F9">
        <w:rPr>
          <w:rFonts w:ascii="Times New Roman" w:hAnsi="Times New Roman" w:cs="Times New Roman"/>
          <w:sz w:val="24"/>
          <w:szCs w:val="24"/>
        </w:rPr>
        <w:t>закрытая подписка.</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2. Цена размещения дополнительных акций АО «Чеченэнерго» </w:t>
      </w:r>
      <w:r w:rsidR="005C7D59" w:rsidRPr="00B369F9">
        <w:rPr>
          <w:rFonts w:ascii="Times New Roman" w:hAnsi="Times New Roman" w:cs="Times New Roman"/>
          <w:sz w:val="24"/>
          <w:szCs w:val="24"/>
        </w:rPr>
        <w:t>–</w:t>
      </w:r>
      <w:r w:rsidRPr="00B369F9">
        <w:rPr>
          <w:rFonts w:ascii="Times New Roman" w:hAnsi="Times New Roman" w:cs="Times New Roman"/>
          <w:sz w:val="24"/>
          <w:szCs w:val="24"/>
        </w:rPr>
        <w:t xml:space="preserve"> цена размещения одной дополнительной обыкновенной акции АО «Чеченэнерго» будет определена Советом директоров Общества в соответствии со ст. 36 и ст. 77 Федерального закона «Об</w:t>
      </w:r>
      <w:r w:rsidR="00CB71A5" w:rsidRPr="00B369F9">
        <w:rPr>
          <w:rFonts w:ascii="Times New Roman" w:hAnsi="Times New Roman" w:cs="Times New Roman"/>
          <w:sz w:val="24"/>
          <w:szCs w:val="24"/>
        </w:rPr>
        <w:t> </w:t>
      </w:r>
      <w:r w:rsidRPr="00B369F9">
        <w:rPr>
          <w:rFonts w:ascii="Times New Roman" w:hAnsi="Times New Roman" w:cs="Times New Roman"/>
          <w:sz w:val="24"/>
          <w:szCs w:val="24"/>
        </w:rPr>
        <w:t>акционерных обществах» до даты начала размещения дополнительных обыкновенных акций АО «Чеченэнерго».</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3. Круг лиц, среди которых предполагается осуществить размещение дополнительных обыкновенных акций АО «Чеченэнерго»:</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1) Публичное акционерное общество «Федеральная сетевая компания – Россети» (ОГРН 1024701893336).</w:t>
      </w:r>
    </w:p>
    <w:p w:rsidR="00554E8F" w:rsidRPr="00B369F9" w:rsidRDefault="00554E8F" w:rsidP="00554E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4. Форма оплаты дополнительных обыкновенных акций АО «Чеченэнерго» – денежными средствами в </w:t>
      </w:r>
      <w:r w:rsidR="00C42A1B" w:rsidRPr="00B369F9">
        <w:rPr>
          <w:rFonts w:ascii="Times New Roman" w:hAnsi="Times New Roman" w:cs="Times New Roman"/>
          <w:sz w:val="24"/>
          <w:szCs w:val="24"/>
        </w:rPr>
        <w:t>руб.</w:t>
      </w:r>
      <w:r w:rsidRPr="00B369F9">
        <w:rPr>
          <w:rFonts w:ascii="Times New Roman" w:hAnsi="Times New Roman" w:cs="Times New Roman"/>
          <w:sz w:val="24"/>
          <w:szCs w:val="24"/>
        </w:rPr>
        <w:t xml:space="preserve"> Российской Федерации в безналичной форме.</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Все вопросы, внесенные в повестку дня </w:t>
      </w:r>
      <w:r w:rsidR="00CB0D75" w:rsidRPr="00B369F9">
        <w:rPr>
          <w:rFonts w:ascii="Times New Roman" w:hAnsi="Times New Roman" w:cs="Times New Roman"/>
          <w:sz w:val="24"/>
          <w:szCs w:val="24"/>
        </w:rPr>
        <w:t xml:space="preserve">годового </w:t>
      </w:r>
      <w:r w:rsidRPr="00B369F9">
        <w:rPr>
          <w:rFonts w:ascii="Times New Roman" w:hAnsi="Times New Roman" w:cs="Times New Roman"/>
          <w:sz w:val="24"/>
          <w:szCs w:val="24"/>
        </w:rPr>
        <w:t>Общего собрания акционеров, были рассмотрены, по итогам голосования решения по ним были приняты.</w:t>
      </w:r>
    </w:p>
    <w:p w:rsidR="00F86DFD" w:rsidRDefault="00F86DFD" w:rsidP="00116471">
      <w:pPr>
        <w:tabs>
          <w:tab w:val="left" w:pos="993"/>
        </w:tabs>
        <w:spacing w:after="0" w:line="240" w:lineRule="auto"/>
        <w:ind w:right="-143" w:firstLine="709"/>
        <w:jc w:val="both"/>
        <w:rPr>
          <w:rFonts w:ascii="Times New Roman" w:eastAsiaTheme="majorEastAsia" w:hAnsi="Times New Roman" w:cs="Times New Roman"/>
          <w:b/>
          <w:sz w:val="24"/>
          <w:szCs w:val="24"/>
          <w:lang w:eastAsia="ru-RU"/>
        </w:rPr>
      </w:pPr>
      <w:bookmarkStart w:id="38" w:name="_Toc473537023"/>
    </w:p>
    <w:p w:rsidR="00116471" w:rsidRPr="00B369F9" w:rsidRDefault="00116471" w:rsidP="00116471">
      <w:pPr>
        <w:tabs>
          <w:tab w:val="left" w:pos="993"/>
        </w:tabs>
        <w:spacing w:after="0" w:line="240" w:lineRule="auto"/>
        <w:ind w:right="-143" w:firstLine="709"/>
        <w:jc w:val="both"/>
        <w:rPr>
          <w:rFonts w:ascii="Times New Roman" w:hAnsi="Times New Roman" w:cs="Times New Roman"/>
          <w:b/>
          <w:sz w:val="24"/>
          <w:szCs w:val="24"/>
        </w:rPr>
      </w:pPr>
      <w:r w:rsidRPr="00B369F9">
        <w:rPr>
          <w:rFonts w:ascii="Times New Roman" w:eastAsiaTheme="majorEastAsia" w:hAnsi="Times New Roman" w:cs="Times New Roman"/>
          <w:b/>
          <w:sz w:val="24"/>
          <w:szCs w:val="24"/>
          <w:lang w:eastAsia="ru-RU"/>
        </w:rPr>
        <w:t>Совет директоров Общества</w:t>
      </w:r>
      <w:bookmarkEnd w:id="38"/>
    </w:p>
    <w:p w:rsidR="00116471" w:rsidRPr="00B369F9" w:rsidRDefault="00116471" w:rsidP="00116471">
      <w:pPr>
        <w:tabs>
          <w:tab w:val="left" w:pos="993"/>
        </w:tabs>
        <w:spacing w:after="0" w:line="240" w:lineRule="auto"/>
        <w:ind w:right="-142"/>
        <w:contextualSpacing/>
        <w:jc w:val="both"/>
        <w:rPr>
          <w:rFonts w:ascii="Times New Roman" w:hAnsi="Times New Roman" w:cs="Times New Roman"/>
          <w:sz w:val="24"/>
          <w:szCs w:val="24"/>
        </w:rPr>
      </w:pP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Совет директоров является коллегиальным органом управления, контролирующим деятельность исполнительных органов Общества и выполняющим иные функции, возложенные на него законом и Уставом Общества. </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Совет директоров Общества осуществляет общее руководство деятельностью Общества, за исключением решения вопросов, отнесенных Федеральным законом «Об акционерных обществах» и Уставом к компетенции Общего собрания акционеров.</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Компетенция Совета директоров установлена ст. 65 Федерального закона «Об</w:t>
      </w:r>
      <w:r w:rsidR="00D84487" w:rsidRPr="00B369F9">
        <w:rPr>
          <w:rFonts w:ascii="Times New Roman" w:eastAsia="Calibri" w:hAnsi="Times New Roman" w:cs="Times New Roman"/>
          <w:sz w:val="24"/>
          <w:szCs w:val="24"/>
          <w:lang w:val="en-US"/>
        </w:rPr>
        <w:t> </w:t>
      </w:r>
      <w:r w:rsidRPr="00B369F9">
        <w:rPr>
          <w:rFonts w:ascii="Times New Roman" w:eastAsia="Calibri" w:hAnsi="Times New Roman" w:cs="Times New Roman"/>
          <w:sz w:val="24"/>
          <w:szCs w:val="24"/>
        </w:rPr>
        <w:t>акционерных обществах» и п. 15.1 ст. 15 Устава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Вопросы, отнесенные к компетенции Совета директоров, не могут быть переданы на решение Генеральному директору и Правлению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соответствии с Уставом Общества численный состав Совета директоров определен в количестве 6 человек.</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На годовом Общем собрании акционеров, состоявшемся </w:t>
      </w:r>
      <w:r w:rsidR="000F5D7C" w:rsidRPr="00B369F9">
        <w:rPr>
          <w:rFonts w:ascii="Times New Roman" w:eastAsia="Calibri" w:hAnsi="Times New Roman" w:cs="Times New Roman"/>
          <w:sz w:val="24"/>
          <w:szCs w:val="24"/>
        </w:rPr>
        <w:t>06</w:t>
      </w:r>
      <w:r w:rsidRPr="00B369F9">
        <w:rPr>
          <w:rFonts w:ascii="Times New Roman" w:eastAsia="Calibri" w:hAnsi="Times New Roman" w:cs="Times New Roman"/>
          <w:sz w:val="24"/>
          <w:szCs w:val="24"/>
        </w:rPr>
        <w:t>.06.202</w:t>
      </w:r>
      <w:r w:rsidR="000F5D7C"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(протокол от </w:t>
      </w:r>
      <w:r w:rsidR="000F5D7C" w:rsidRPr="00B369F9">
        <w:rPr>
          <w:rFonts w:ascii="Times New Roman" w:eastAsia="Calibri" w:hAnsi="Times New Roman" w:cs="Times New Roman"/>
          <w:sz w:val="24"/>
          <w:szCs w:val="24"/>
        </w:rPr>
        <w:t>07</w:t>
      </w:r>
      <w:r w:rsidRPr="00B369F9">
        <w:rPr>
          <w:rFonts w:ascii="Times New Roman" w:eastAsia="Calibri" w:hAnsi="Times New Roman" w:cs="Times New Roman"/>
          <w:sz w:val="24"/>
          <w:szCs w:val="24"/>
        </w:rPr>
        <w:t>.06.202</w:t>
      </w:r>
      <w:r w:rsidR="000F5D7C"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 2</w:t>
      </w:r>
      <w:r w:rsidR="000F5D7C" w:rsidRPr="00B369F9">
        <w:rPr>
          <w:rFonts w:ascii="Times New Roman" w:eastAsia="Calibri" w:hAnsi="Times New Roman" w:cs="Times New Roman"/>
          <w:sz w:val="24"/>
          <w:szCs w:val="24"/>
        </w:rPr>
        <w:t>7</w:t>
      </w:r>
      <w:r w:rsidRPr="00B369F9">
        <w:rPr>
          <w:rFonts w:ascii="Times New Roman" w:eastAsia="Calibri" w:hAnsi="Times New Roman" w:cs="Times New Roman"/>
          <w:sz w:val="24"/>
          <w:szCs w:val="24"/>
        </w:rPr>
        <w:t xml:space="preserve">), из 6 кандидатов в члены Совета директоров по предложению акционера – Чеченской Республики в лице Министерства имущественных и земельных отношений Чеченской Республики, в состав Совета директоров были избраны 2 члена Совета директоров. </w:t>
      </w:r>
    </w:p>
    <w:p w:rsidR="00116471"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отчетном году действовало два состава Совета директоров.</w:t>
      </w:r>
    </w:p>
    <w:p w:rsidR="005D5DC7" w:rsidRDefault="005D5DC7" w:rsidP="00116471">
      <w:pPr>
        <w:spacing w:after="0" w:line="240" w:lineRule="auto"/>
        <w:ind w:firstLine="709"/>
        <w:jc w:val="both"/>
        <w:rPr>
          <w:rFonts w:ascii="Times New Roman" w:eastAsia="Calibri" w:hAnsi="Times New Roman" w:cs="Times New Roman"/>
          <w:sz w:val="24"/>
          <w:szCs w:val="24"/>
        </w:rPr>
      </w:pP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Действующий персональный состав Совета директоров АО «Чеченэнерго»,</w:t>
      </w: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 xml:space="preserve">избранный на годовом Общем собрании акционеров 06.06.2023 </w:t>
      </w: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(протокол от 07.06.2023 № 27)</w:t>
      </w:r>
    </w:p>
    <w:tbl>
      <w:tblPr>
        <w:tblW w:w="90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0"/>
        <w:gridCol w:w="5387"/>
      </w:tblGrid>
      <w:tr w:rsidR="005D5DC7" w:rsidRPr="004D05C9" w:rsidTr="00922A49">
        <w:trPr>
          <w:cantSplit/>
          <w:trHeight w:hRule="exact" w:val="655"/>
        </w:trPr>
        <w:tc>
          <w:tcPr>
            <w:tcW w:w="3710" w:type="dxa"/>
            <w:shd w:val="clear" w:color="auto" w:fill="FFFFFF"/>
            <w:vAlign w:val="center"/>
          </w:tcPr>
          <w:p w:rsidR="005D5DC7" w:rsidRPr="004D05C9" w:rsidRDefault="005D5DC7" w:rsidP="00922A49">
            <w:pPr>
              <w:widowControl w:val="0"/>
              <w:spacing w:after="0" w:line="240" w:lineRule="auto"/>
              <w:jc w:val="center"/>
              <w:rPr>
                <w:rFonts w:ascii="Times New Roman" w:hAnsi="Times New Roman" w:cs="Times New Roman"/>
                <w:b/>
                <w:sz w:val="20"/>
                <w:szCs w:val="20"/>
              </w:rPr>
            </w:pPr>
            <w:r w:rsidRPr="004D05C9">
              <w:rPr>
                <w:rFonts w:ascii="Times New Roman" w:hAnsi="Times New Roman" w:cs="Times New Roman"/>
                <w:b/>
                <w:sz w:val="20"/>
                <w:szCs w:val="20"/>
              </w:rPr>
              <w:lastRenderedPageBreak/>
              <w:t>Ф.И.О., Должность  на момент выдвижения</w:t>
            </w:r>
          </w:p>
        </w:tc>
        <w:tc>
          <w:tcPr>
            <w:tcW w:w="5387" w:type="dxa"/>
            <w:shd w:val="clear" w:color="auto" w:fill="FFFFFF"/>
            <w:vAlign w:val="center"/>
          </w:tcPr>
          <w:p w:rsidR="005D5DC7" w:rsidRPr="004D05C9" w:rsidRDefault="005D5DC7" w:rsidP="00922A49">
            <w:pPr>
              <w:widowControl w:val="0"/>
              <w:spacing w:after="0" w:line="240" w:lineRule="auto"/>
              <w:jc w:val="center"/>
              <w:rPr>
                <w:rFonts w:ascii="Times New Roman" w:hAnsi="Times New Roman" w:cs="Times New Roman"/>
                <w:b/>
                <w:sz w:val="20"/>
                <w:szCs w:val="20"/>
              </w:rPr>
            </w:pPr>
            <w:r w:rsidRPr="004D05C9">
              <w:rPr>
                <w:rFonts w:ascii="Times New Roman" w:hAnsi="Times New Roman" w:cs="Times New Roman"/>
                <w:b/>
                <w:sz w:val="20"/>
                <w:szCs w:val="20"/>
              </w:rPr>
              <w:t>Дата рождения, гражданство, образование</w:t>
            </w:r>
          </w:p>
        </w:tc>
      </w:tr>
      <w:tr w:rsidR="005D5DC7" w:rsidRPr="004D05C9" w:rsidTr="00922A49">
        <w:trPr>
          <w:cantSplit/>
          <w:trHeight w:hRule="exact" w:val="1443"/>
        </w:trPr>
        <w:tc>
          <w:tcPr>
            <w:tcW w:w="3710" w:type="dxa"/>
            <w:shd w:val="clear" w:color="auto" w:fill="FFFFFF"/>
            <w:vAlign w:val="center"/>
          </w:tcPr>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Кадиров Иса Салаудинович,</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Управляющий директор АО «Чеченэнерго», Председатель Совета директора АО «Чеченэнерго»</w:t>
            </w:r>
          </w:p>
        </w:tc>
        <w:tc>
          <w:tcPr>
            <w:tcW w:w="5387" w:type="dxa"/>
            <w:shd w:val="clear" w:color="auto" w:fill="FFFFFF"/>
            <w:vAlign w:val="center"/>
          </w:tcPr>
          <w:p w:rsidR="005D5DC7" w:rsidRPr="004D05C9" w:rsidRDefault="005D5DC7" w:rsidP="00922A49">
            <w:pPr>
              <w:spacing w:after="0" w:line="240" w:lineRule="auto"/>
              <w:jc w:val="both"/>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05.06.1969</w:t>
            </w:r>
          </w:p>
          <w:p w:rsidR="005D5DC7" w:rsidRPr="004D05C9" w:rsidRDefault="005D5DC7" w:rsidP="00922A49">
            <w:pPr>
              <w:spacing w:after="0" w:line="240" w:lineRule="auto"/>
              <w:jc w:val="both"/>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jc w:val="both"/>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 xml:space="preserve">Образование: Высшее </w:t>
            </w:r>
          </w:p>
          <w:p w:rsidR="005D5DC7" w:rsidRPr="004D05C9" w:rsidRDefault="005D5DC7" w:rsidP="006148A8">
            <w:pPr>
              <w:pStyle w:val="af8"/>
              <w:numPr>
                <w:ilvl w:val="0"/>
                <w:numId w:val="10"/>
              </w:numPr>
              <w:ind w:left="0" w:firstLine="0"/>
              <w:jc w:val="both"/>
              <w:rPr>
                <w:rFonts w:ascii="Times New Roman" w:hAnsi="Times New Roman" w:cs="Times New Roman"/>
                <w:bCs/>
                <w:color w:val="000000"/>
                <w:sz w:val="20"/>
                <w:szCs w:val="20"/>
              </w:rPr>
            </w:pPr>
            <w:r w:rsidRPr="004D05C9">
              <w:rPr>
                <w:rFonts w:ascii="Times New Roman" w:hAnsi="Times New Roman" w:cs="Times New Roman"/>
                <w:bCs/>
                <w:color w:val="000000"/>
                <w:sz w:val="20"/>
                <w:szCs w:val="20"/>
              </w:rPr>
              <w:t>Чеченский государственный университет, специальность юриспруденция, квалификация юрист, 1997 год окончания</w:t>
            </w:r>
          </w:p>
          <w:p w:rsidR="005D5DC7" w:rsidRPr="004D05C9" w:rsidRDefault="005D5DC7" w:rsidP="006148A8">
            <w:pPr>
              <w:pStyle w:val="af8"/>
              <w:numPr>
                <w:ilvl w:val="0"/>
                <w:numId w:val="10"/>
              </w:numPr>
              <w:ind w:left="0" w:firstLine="0"/>
              <w:jc w:val="both"/>
              <w:rPr>
                <w:rFonts w:ascii="Times New Roman" w:hAnsi="Times New Roman" w:cs="Times New Roman"/>
                <w:bCs/>
                <w:color w:val="000000"/>
                <w:sz w:val="20"/>
                <w:szCs w:val="20"/>
              </w:rPr>
            </w:pPr>
            <w:r w:rsidRPr="004D05C9">
              <w:rPr>
                <w:rFonts w:ascii="Times New Roman" w:hAnsi="Times New Roman" w:cs="Times New Roman"/>
                <w:bCs/>
                <w:color w:val="000000"/>
                <w:sz w:val="20"/>
                <w:szCs w:val="20"/>
              </w:rPr>
              <w:t>ФРАУ УВО «Северо-Кавказский федеральный университет» г. Пятигорск, переквалификация по специальности «Электроэнергетика и электротехника», 2018 год окончания</w:t>
            </w:r>
          </w:p>
        </w:tc>
      </w:tr>
      <w:tr w:rsidR="005D5DC7" w:rsidRPr="004D05C9" w:rsidTr="00922A49">
        <w:trPr>
          <w:cantSplit/>
          <w:trHeight w:hRule="exact" w:val="1017"/>
        </w:trPr>
        <w:tc>
          <w:tcPr>
            <w:tcW w:w="3710" w:type="dxa"/>
            <w:shd w:val="clear" w:color="auto" w:fill="FFFFFF"/>
            <w:vAlign w:val="center"/>
          </w:tcPr>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Боев Сергей Владимирович, </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Первый заместитель начальника Департамента обеспечения безопасности ПАО «Россети»</w:t>
            </w:r>
          </w:p>
        </w:tc>
        <w:tc>
          <w:tcPr>
            <w:tcW w:w="5387" w:type="dxa"/>
            <w:shd w:val="clear" w:color="auto" w:fill="FFFFFF"/>
            <w:vAlign w:val="center"/>
          </w:tcPr>
          <w:p w:rsidR="005D5DC7" w:rsidRPr="004D05C9" w:rsidRDefault="005D5DC7" w:rsidP="00922A49">
            <w:pPr>
              <w:spacing w:after="0" w:line="240" w:lineRule="auto"/>
              <w:jc w:val="both"/>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30.08.1979</w:t>
            </w:r>
          </w:p>
          <w:p w:rsidR="005D5DC7" w:rsidRPr="004D05C9" w:rsidRDefault="005D5DC7" w:rsidP="00922A49">
            <w:pPr>
              <w:spacing w:after="0" w:line="240" w:lineRule="auto"/>
              <w:jc w:val="both"/>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jc w:val="both"/>
              <w:rPr>
                <w:rFonts w:ascii="Times New Roman" w:hAnsi="Times New Roman" w:cs="Times New Roman"/>
                <w:sz w:val="20"/>
                <w:szCs w:val="20"/>
              </w:rPr>
            </w:pPr>
            <w:r w:rsidRPr="004D05C9">
              <w:rPr>
                <w:rFonts w:ascii="Times New Roman" w:eastAsia="Calibri" w:hAnsi="Times New Roman" w:cs="Times New Roman"/>
                <w:bCs/>
                <w:color w:val="000000"/>
                <w:sz w:val="20"/>
                <w:szCs w:val="20"/>
              </w:rPr>
              <w:t>Образование: Высшее, Курский филиал Орловского юридического института МВД России, юрист, 2003</w:t>
            </w:r>
          </w:p>
        </w:tc>
      </w:tr>
      <w:tr w:rsidR="005D5DC7" w:rsidRPr="004D05C9" w:rsidTr="00922A49">
        <w:trPr>
          <w:cantSplit/>
          <w:trHeight w:hRule="exact" w:val="1272"/>
        </w:trPr>
        <w:tc>
          <w:tcPr>
            <w:tcW w:w="3710" w:type="dxa"/>
            <w:shd w:val="clear" w:color="auto" w:fill="FFFFFF"/>
            <w:vAlign w:val="center"/>
          </w:tcPr>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Айметов Рустем Рафаэльевич, </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Начальник Департамента взаимодействия с клиентами и рынком ПАО «Россети»</w:t>
            </w:r>
          </w:p>
        </w:tc>
        <w:tc>
          <w:tcPr>
            <w:tcW w:w="5387" w:type="dxa"/>
            <w:shd w:val="clear" w:color="auto" w:fill="FFFFFF"/>
            <w:vAlign w:val="center"/>
          </w:tcPr>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28.06.1978</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Образование: Самарский государственный технический университет, специальность – электроэнергетические системы и сети</w:t>
            </w:r>
          </w:p>
        </w:tc>
      </w:tr>
      <w:tr w:rsidR="005D5DC7" w:rsidRPr="004D05C9" w:rsidTr="00922A49">
        <w:trPr>
          <w:cantSplit/>
          <w:trHeight w:hRule="exact" w:val="2410"/>
        </w:trPr>
        <w:tc>
          <w:tcPr>
            <w:tcW w:w="3710" w:type="dxa"/>
            <w:shd w:val="clear" w:color="auto" w:fill="FFFFFF"/>
            <w:vAlign w:val="center"/>
          </w:tcPr>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Уколов Владимир Анатольевич, </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Руководитель ситуационно - аналитического центра ПАО «Россети»</w:t>
            </w:r>
          </w:p>
        </w:tc>
        <w:tc>
          <w:tcPr>
            <w:tcW w:w="5387" w:type="dxa"/>
            <w:shd w:val="clear" w:color="auto" w:fill="FFFFFF"/>
            <w:vAlign w:val="center"/>
          </w:tcPr>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22.04.1983</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w:t>
            </w:r>
          </w:p>
          <w:p w:rsidR="005D5DC7" w:rsidRPr="004D05C9" w:rsidRDefault="005D5DC7" w:rsidP="006148A8">
            <w:pPr>
              <w:pStyle w:val="af8"/>
              <w:numPr>
                <w:ilvl w:val="0"/>
                <w:numId w:val="12"/>
              </w:numPr>
              <w:ind w:left="0" w:firstLine="0"/>
              <w:jc w:val="both"/>
              <w:rPr>
                <w:rFonts w:ascii="Times New Roman" w:hAnsi="Times New Roman" w:cs="Times New Roman"/>
                <w:bCs/>
                <w:color w:val="000000"/>
                <w:sz w:val="20"/>
                <w:szCs w:val="20"/>
              </w:rPr>
            </w:pPr>
            <w:r w:rsidRPr="004D05C9">
              <w:rPr>
                <w:rFonts w:ascii="Times New Roman" w:hAnsi="Times New Roman" w:cs="Times New Roman"/>
                <w:bCs/>
                <w:color w:val="000000"/>
                <w:sz w:val="20"/>
                <w:szCs w:val="20"/>
              </w:rPr>
              <w:t>Иркутский государственный технический университет, специальность «Электрические станции, квалификация «Инженер»</w:t>
            </w:r>
          </w:p>
          <w:p w:rsidR="005D5DC7" w:rsidRPr="004D05C9" w:rsidRDefault="005D5DC7" w:rsidP="006148A8">
            <w:pPr>
              <w:pStyle w:val="af8"/>
              <w:numPr>
                <w:ilvl w:val="0"/>
                <w:numId w:val="12"/>
              </w:numPr>
              <w:ind w:left="0" w:firstLine="0"/>
              <w:jc w:val="both"/>
              <w:rPr>
                <w:rFonts w:ascii="Times New Roman" w:hAnsi="Times New Roman" w:cs="Times New Roman"/>
                <w:sz w:val="20"/>
                <w:szCs w:val="20"/>
              </w:rPr>
            </w:pPr>
            <w:r w:rsidRPr="004D05C9">
              <w:rPr>
                <w:rFonts w:ascii="Times New Roman" w:hAnsi="Times New Roman" w:cs="Times New Roman"/>
                <w:bCs/>
                <w:color w:val="000000"/>
                <w:sz w:val="20"/>
                <w:szCs w:val="20"/>
              </w:rPr>
              <w:t>Байкальский государственный университет экономики и права, специальность «Прикладная информатика в экономике», квалификация «Информатик-экономист»</w:t>
            </w:r>
          </w:p>
        </w:tc>
      </w:tr>
      <w:tr w:rsidR="005D5DC7" w:rsidRPr="004D05C9" w:rsidTr="00922A49">
        <w:trPr>
          <w:cantSplit/>
          <w:trHeight w:hRule="exact" w:val="1707"/>
        </w:trPr>
        <w:tc>
          <w:tcPr>
            <w:tcW w:w="3710" w:type="dxa"/>
            <w:shd w:val="clear" w:color="auto" w:fill="FFFFFF"/>
            <w:vAlign w:val="center"/>
          </w:tcPr>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Хакимов Адам Салаудинович, </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Министр промышленности и энергетики Чеченской Республики</w:t>
            </w:r>
          </w:p>
        </w:tc>
        <w:tc>
          <w:tcPr>
            <w:tcW w:w="5387" w:type="dxa"/>
            <w:shd w:val="clear" w:color="auto" w:fill="FFFFFF"/>
            <w:vAlign w:val="center"/>
          </w:tcPr>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09.08.1970</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 Академия налоговой полиции Федеральной службы налоговой полиции Российской Федерации г. Пятигорск, специализация юриспруденция, квалификация юрист, 2001 год окончания</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Кандидат экономических наук</w:t>
            </w:r>
          </w:p>
        </w:tc>
      </w:tr>
      <w:tr w:rsidR="005D5DC7" w:rsidRPr="004D05C9" w:rsidTr="00922A49">
        <w:trPr>
          <w:cantSplit/>
          <w:trHeight w:hRule="exact" w:val="1264"/>
        </w:trPr>
        <w:tc>
          <w:tcPr>
            <w:tcW w:w="3710" w:type="dxa"/>
            <w:shd w:val="clear" w:color="auto" w:fill="FFFFFF"/>
            <w:vAlign w:val="center"/>
          </w:tcPr>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Жумаев Лом-Али Нажаевич, </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hAnsi="Times New Roman" w:cs="Times New Roman"/>
                <w:sz w:val="20"/>
                <w:szCs w:val="20"/>
              </w:rPr>
              <w:t>Помощник Председателя Правительства Чеченской Республики</w:t>
            </w:r>
          </w:p>
        </w:tc>
        <w:tc>
          <w:tcPr>
            <w:tcW w:w="5387" w:type="dxa"/>
            <w:shd w:val="clear" w:color="auto" w:fill="FFFFFF"/>
            <w:vAlign w:val="center"/>
          </w:tcPr>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20.04.1990</w:t>
            </w:r>
          </w:p>
          <w:p w:rsidR="005D5DC7" w:rsidRPr="004D05C9" w:rsidRDefault="005D5DC7" w:rsidP="00922A49">
            <w:pPr>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Образование: Высшее, Северо-Кавказский федеральной университет по специальности «Налоги и налогообложение», 2013 год окончания</w:t>
            </w:r>
          </w:p>
        </w:tc>
      </w:tr>
    </w:tbl>
    <w:p w:rsidR="005D5DC7" w:rsidRDefault="005D5DC7" w:rsidP="005D5DC7">
      <w:pPr>
        <w:tabs>
          <w:tab w:val="left" w:pos="993"/>
        </w:tabs>
        <w:spacing w:after="0" w:line="240" w:lineRule="auto"/>
        <w:ind w:right="-142"/>
        <w:contextualSpacing/>
        <w:jc w:val="both"/>
        <w:rPr>
          <w:rFonts w:ascii="Times New Roman" w:hAnsi="Times New Roman" w:cs="Times New Roman"/>
          <w:sz w:val="24"/>
          <w:szCs w:val="24"/>
        </w:rPr>
      </w:pPr>
    </w:p>
    <w:p w:rsidR="003A7226" w:rsidRPr="00B369F9" w:rsidRDefault="003A7226" w:rsidP="005D5DC7">
      <w:pPr>
        <w:tabs>
          <w:tab w:val="left" w:pos="993"/>
        </w:tabs>
        <w:spacing w:after="0" w:line="240" w:lineRule="auto"/>
        <w:ind w:right="-142"/>
        <w:contextualSpacing/>
        <w:jc w:val="both"/>
        <w:rPr>
          <w:rFonts w:ascii="Times New Roman" w:hAnsi="Times New Roman" w:cs="Times New Roman"/>
          <w:sz w:val="24"/>
          <w:szCs w:val="24"/>
        </w:rPr>
      </w:pP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Персональный состав Совета директоров АО «Чеченэнерго»,</w:t>
      </w: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 xml:space="preserve">избранный на годовом Общем собрании акционеров 22.06.2022 </w:t>
      </w:r>
    </w:p>
    <w:p w:rsidR="005D5DC7" w:rsidRPr="00B369F9" w:rsidRDefault="005D5DC7" w:rsidP="005D5DC7">
      <w:pPr>
        <w:spacing w:after="0" w:line="240" w:lineRule="auto"/>
        <w:jc w:val="center"/>
        <w:rPr>
          <w:rFonts w:ascii="Times New Roman" w:hAnsi="Times New Roman" w:cs="Times New Roman"/>
          <w:b/>
          <w:sz w:val="24"/>
          <w:szCs w:val="24"/>
        </w:rPr>
      </w:pPr>
      <w:r w:rsidRPr="00B369F9">
        <w:rPr>
          <w:rFonts w:ascii="Times New Roman" w:hAnsi="Times New Roman" w:cs="Times New Roman"/>
          <w:b/>
          <w:sz w:val="24"/>
          <w:szCs w:val="24"/>
        </w:rPr>
        <w:t>(протокол от 22.06.2022 № 25)</w:t>
      </w:r>
    </w:p>
    <w:tbl>
      <w:tblPr>
        <w:tblW w:w="909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10"/>
        <w:gridCol w:w="5387"/>
      </w:tblGrid>
      <w:tr w:rsidR="005D5DC7" w:rsidRPr="004D05C9" w:rsidTr="00922A49">
        <w:trPr>
          <w:trHeight w:val="581"/>
        </w:trPr>
        <w:tc>
          <w:tcPr>
            <w:tcW w:w="3710" w:type="dxa"/>
            <w:shd w:val="clear" w:color="auto" w:fill="FFFFFF"/>
            <w:vAlign w:val="center"/>
          </w:tcPr>
          <w:p w:rsidR="005D5DC7" w:rsidRPr="004D05C9" w:rsidRDefault="005D5DC7" w:rsidP="00922A49">
            <w:pPr>
              <w:widowControl w:val="0"/>
              <w:spacing w:after="0" w:line="240" w:lineRule="auto"/>
              <w:jc w:val="center"/>
              <w:rPr>
                <w:rFonts w:ascii="Times New Roman" w:hAnsi="Times New Roman" w:cs="Times New Roman"/>
                <w:b/>
                <w:sz w:val="20"/>
                <w:szCs w:val="20"/>
              </w:rPr>
            </w:pPr>
            <w:r w:rsidRPr="004D05C9">
              <w:rPr>
                <w:rFonts w:ascii="Times New Roman" w:hAnsi="Times New Roman" w:cs="Times New Roman"/>
                <w:b/>
                <w:sz w:val="20"/>
                <w:szCs w:val="20"/>
              </w:rPr>
              <w:t>Ф.И.О., Должность  на момент выдвижения</w:t>
            </w:r>
          </w:p>
        </w:tc>
        <w:tc>
          <w:tcPr>
            <w:tcW w:w="5387" w:type="dxa"/>
            <w:shd w:val="clear" w:color="auto" w:fill="FFFFFF"/>
            <w:vAlign w:val="center"/>
          </w:tcPr>
          <w:p w:rsidR="005D5DC7" w:rsidRPr="004D05C9" w:rsidRDefault="005D5DC7" w:rsidP="00922A49">
            <w:pPr>
              <w:widowControl w:val="0"/>
              <w:spacing w:after="0" w:line="240" w:lineRule="auto"/>
              <w:jc w:val="center"/>
              <w:rPr>
                <w:rFonts w:ascii="Times New Roman" w:hAnsi="Times New Roman" w:cs="Times New Roman"/>
                <w:b/>
                <w:sz w:val="20"/>
                <w:szCs w:val="20"/>
              </w:rPr>
            </w:pPr>
            <w:r w:rsidRPr="004D05C9">
              <w:rPr>
                <w:rFonts w:ascii="Times New Roman" w:hAnsi="Times New Roman" w:cs="Times New Roman"/>
                <w:b/>
                <w:sz w:val="20"/>
                <w:szCs w:val="20"/>
              </w:rPr>
              <w:t>Дата рождения, гражданство, образование</w:t>
            </w:r>
          </w:p>
        </w:tc>
      </w:tr>
      <w:tr w:rsidR="005D5DC7" w:rsidRPr="004D05C9" w:rsidTr="00922A49">
        <w:trPr>
          <w:trHeight w:val="2300"/>
        </w:trPr>
        <w:tc>
          <w:tcPr>
            <w:tcW w:w="3710"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 xml:space="preserve">Кадиров Иса Салаудинович, </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Исполняющий обязанности управляющего директора АО «Чеченэнерго», Председатель Совета директора АО «Чеченэнерго»</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05.06.1969</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w:t>
            </w:r>
          </w:p>
          <w:p w:rsidR="005D5DC7" w:rsidRPr="004D05C9" w:rsidRDefault="005D5DC7" w:rsidP="006148A8">
            <w:pPr>
              <w:pStyle w:val="af8"/>
              <w:widowControl w:val="0"/>
              <w:numPr>
                <w:ilvl w:val="0"/>
                <w:numId w:val="11"/>
              </w:numPr>
              <w:ind w:left="0" w:firstLine="0"/>
              <w:jc w:val="both"/>
              <w:rPr>
                <w:rFonts w:ascii="Times New Roman" w:hAnsi="Times New Roman" w:cs="Times New Roman"/>
                <w:bCs/>
                <w:color w:val="000000"/>
                <w:sz w:val="20"/>
                <w:szCs w:val="20"/>
              </w:rPr>
            </w:pPr>
            <w:r w:rsidRPr="004D05C9">
              <w:rPr>
                <w:rFonts w:ascii="Times New Roman" w:hAnsi="Times New Roman" w:cs="Times New Roman"/>
                <w:bCs/>
                <w:color w:val="000000"/>
                <w:sz w:val="20"/>
                <w:szCs w:val="20"/>
              </w:rPr>
              <w:t>Чеченский государственный университет, специальность юриспруденция, квалификация юрист, 1997 год окончания.</w:t>
            </w:r>
          </w:p>
          <w:p w:rsidR="005D5DC7" w:rsidRPr="004D05C9" w:rsidRDefault="005D5DC7" w:rsidP="006148A8">
            <w:pPr>
              <w:pStyle w:val="af8"/>
              <w:widowControl w:val="0"/>
              <w:numPr>
                <w:ilvl w:val="0"/>
                <w:numId w:val="11"/>
              </w:numPr>
              <w:ind w:left="0" w:firstLine="0"/>
              <w:jc w:val="both"/>
              <w:rPr>
                <w:rFonts w:ascii="Times New Roman" w:hAnsi="Times New Roman" w:cs="Times New Roman"/>
                <w:bCs/>
                <w:color w:val="000000"/>
                <w:sz w:val="20"/>
                <w:szCs w:val="20"/>
              </w:rPr>
            </w:pPr>
            <w:r w:rsidRPr="004D05C9">
              <w:rPr>
                <w:rFonts w:ascii="Times New Roman" w:hAnsi="Times New Roman" w:cs="Times New Roman"/>
                <w:bCs/>
                <w:color w:val="000000"/>
                <w:sz w:val="20"/>
                <w:szCs w:val="20"/>
              </w:rPr>
              <w:t>ФРАУ УВО «Северо-Кавказский федеральный университет» г. Пятигорск, переквалификация по специальности «Электроэнергетика и электротехника», 2018 год окончания.</w:t>
            </w:r>
          </w:p>
        </w:tc>
      </w:tr>
      <w:tr w:rsidR="005D5DC7" w:rsidRPr="004D05C9" w:rsidTr="00922A49">
        <w:trPr>
          <w:trHeight w:val="1218"/>
        </w:trPr>
        <w:tc>
          <w:tcPr>
            <w:tcW w:w="3710" w:type="dxa"/>
            <w:shd w:val="clear" w:color="auto" w:fill="FFFFFF"/>
            <w:vAlign w:val="center"/>
          </w:tcPr>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lastRenderedPageBreak/>
              <w:t xml:space="preserve">Боев Сергей Владимирович, </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Заместитель начальника Департамента обеспечения безопасности ПАО «Россети»</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30.08.1979</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Образование: Высшее, Курский филиал Орловского юридического института МВД России, юрист, 2003.</w:t>
            </w:r>
          </w:p>
        </w:tc>
      </w:tr>
      <w:tr w:rsidR="005D5DC7" w:rsidRPr="004D05C9" w:rsidTr="00922A49">
        <w:trPr>
          <w:trHeight w:val="2300"/>
        </w:trPr>
        <w:tc>
          <w:tcPr>
            <w:tcW w:w="3710" w:type="dxa"/>
            <w:shd w:val="clear" w:color="auto" w:fill="FFFFFF"/>
            <w:vAlign w:val="center"/>
          </w:tcPr>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Рожков Василий Владимирович, </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Заместитель Главного инженера ПАО «Россети»</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28.08.1963</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w:t>
            </w:r>
          </w:p>
          <w:p w:rsidR="005D5DC7" w:rsidRPr="004D05C9" w:rsidRDefault="005D5DC7" w:rsidP="006148A8">
            <w:pPr>
              <w:pStyle w:val="af8"/>
              <w:widowControl w:val="0"/>
              <w:numPr>
                <w:ilvl w:val="0"/>
                <w:numId w:val="13"/>
              </w:numPr>
              <w:ind w:left="38" w:firstLine="0"/>
              <w:jc w:val="both"/>
              <w:rPr>
                <w:rFonts w:ascii="Times New Roman" w:hAnsi="Times New Roman" w:cs="Times New Roman"/>
                <w:sz w:val="20"/>
                <w:szCs w:val="20"/>
              </w:rPr>
            </w:pPr>
            <w:r w:rsidRPr="004D05C9">
              <w:rPr>
                <w:rFonts w:ascii="Times New Roman" w:hAnsi="Times New Roman" w:cs="Times New Roman"/>
                <w:sz w:val="20"/>
                <w:szCs w:val="20"/>
              </w:rPr>
              <w:t>Томский институт автоматизированных систем управления и радиоэлектроники, специальность радиотехника, 1985 год окончания</w:t>
            </w:r>
          </w:p>
          <w:p w:rsidR="005D5DC7" w:rsidRPr="004D05C9" w:rsidRDefault="005D5DC7" w:rsidP="006148A8">
            <w:pPr>
              <w:pStyle w:val="af8"/>
              <w:widowControl w:val="0"/>
              <w:numPr>
                <w:ilvl w:val="0"/>
                <w:numId w:val="13"/>
              </w:numPr>
              <w:ind w:left="38" w:firstLine="0"/>
              <w:jc w:val="both"/>
              <w:rPr>
                <w:rFonts w:ascii="Times New Roman" w:hAnsi="Times New Roman" w:cs="Times New Roman"/>
                <w:sz w:val="20"/>
                <w:szCs w:val="20"/>
              </w:rPr>
            </w:pPr>
            <w:r w:rsidRPr="004D05C9">
              <w:rPr>
                <w:rFonts w:ascii="Times New Roman" w:hAnsi="Times New Roman" w:cs="Times New Roman"/>
                <w:sz w:val="20"/>
                <w:szCs w:val="20"/>
              </w:rPr>
              <w:t xml:space="preserve">Иркутский государственный технический университет, специальность электрические станции, 2005 год окончания  </w:t>
            </w:r>
          </w:p>
        </w:tc>
      </w:tr>
      <w:tr w:rsidR="005D5DC7" w:rsidRPr="004D05C9" w:rsidTr="00922A49">
        <w:trPr>
          <w:trHeight w:val="1990"/>
        </w:trPr>
        <w:tc>
          <w:tcPr>
            <w:tcW w:w="3710" w:type="dxa"/>
            <w:shd w:val="clear" w:color="auto" w:fill="FFFFFF"/>
            <w:vAlign w:val="center"/>
          </w:tcPr>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Михеев Дмитрий Дмитриевич, </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Начальник Департамента по реализации услуг ПАО «Россети»</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07.03.1983</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w:t>
            </w:r>
          </w:p>
          <w:p w:rsidR="005D5DC7" w:rsidRPr="004D05C9" w:rsidRDefault="005D5DC7" w:rsidP="006148A8">
            <w:pPr>
              <w:pStyle w:val="af8"/>
              <w:widowControl w:val="0"/>
              <w:numPr>
                <w:ilvl w:val="0"/>
                <w:numId w:val="14"/>
              </w:numPr>
              <w:ind w:left="38" w:firstLine="0"/>
              <w:jc w:val="both"/>
              <w:rPr>
                <w:rFonts w:ascii="Times New Roman" w:hAnsi="Times New Roman" w:cs="Times New Roman"/>
                <w:sz w:val="20"/>
                <w:szCs w:val="20"/>
              </w:rPr>
            </w:pPr>
            <w:r w:rsidRPr="004D05C9">
              <w:rPr>
                <w:rFonts w:ascii="Times New Roman" w:hAnsi="Times New Roman" w:cs="Times New Roman"/>
                <w:sz w:val="20"/>
                <w:szCs w:val="20"/>
              </w:rPr>
              <w:t>Алтайский государственный технический университет им. И.И. Ползунова, инженер по специальности электроснабжение промышленных предприятий</w:t>
            </w:r>
          </w:p>
          <w:p w:rsidR="005D5DC7" w:rsidRPr="004D05C9" w:rsidRDefault="005D5DC7" w:rsidP="006148A8">
            <w:pPr>
              <w:pStyle w:val="af8"/>
              <w:widowControl w:val="0"/>
              <w:numPr>
                <w:ilvl w:val="0"/>
                <w:numId w:val="14"/>
              </w:numPr>
              <w:ind w:left="38" w:firstLine="0"/>
              <w:jc w:val="both"/>
              <w:rPr>
                <w:rFonts w:ascii="Times New Roman" w:hAnsi="Times New Roman" w:cs="Times New Roman"/>
                <w:sz w:val="20"/>
                <w:szCs w:val="20"/>
              </w:rPr>
            </w:pPr>
            <w:r w:rsidRPr="004D05C9">
              <w:rPr>
                <w:rFonts w:ascii="Times New Roman" w:hAnsi="Times New Roman" w:cs="Times New Roman"/>
                <w:sz w:val="20"/>
                <w:szCs w:val="20"/>
              </w:rPr>
              <w:t>Алтайская академия экономики и права, магистр менеджмента по направлению менеджмент</w:t>
            </w:r>
          </w:p>
        </w:tc>
      </w:tr>
      <w:tr w:rsidR="005D5DC7" w:rsidRPr="004D05C9" w:rsidTr="00922A49">
        <w:trPr>
          <w:trHeight w:val="1818"/>
        </w:trPr>
        <w:tc>
          <w:tcPr>
            <w:tcW w:w="3710" w:type="dxa"/>
            <w:shd w:val="clear" w:color="auto" w:fill="FFFFFF"/>
            <w:vAlign w:val="center"/>
          </w:tcPr>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Хакимов Адам Салаудинович, </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Министр промышленности и энергетики Чеченской Республики</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09.08.1970</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Образование: Высшее, Академия налоговой полиции Федеральной службы налоговой полиции Российской Федерации г. Пятигорск, специализация юриспруденция, квалификация юрист, 2001 год окончания</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Кандидат экономических наук</w:t>
            </w:r>
          </w:p>
        </w:tc>
      </w:tr>
      <w:tr w:rsidR="005D5DC7" w:rsidRPr="004D05C9" w:rsidTr="00922A49">
        <w:trPr>
          <w:trHeight w:val="1703"/>
        </w:trPr>
        <w:tc>
          <w:tcPr>
            <w:tcW w:w="3710" w:type="dxa"/>
            <w:shd w:val="clear" w:color="auto" w:fill="FFFFFF"/>
            <w:vAlign w:val="center"/>
          </w:tcPr>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 xml:space="preserve">Амалиев Магомед Тюршиевич, </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hAnsi="Times New Roman" w:cs="Times New Roman"/>
                <w:sz w:val="20"/>
                <w:szCs w:val="20"/>
              </w:rPr>
              <w:t>Советник Председателя Правительства Чеченской Республики</w:t>
            </w:r>
          </w:p>
        </w:tc>
        <w:tc>
          <w:tcPr>
            <w:tcW w:w="5387" w:type="dxa"/>
            <w:shd w:val="clear" w:color="auto" w:fill="FFFFFF"/>
            <w:vAlign w:val="center"/>
          </w:tcPr>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Дата рождения: 05.11.1988</w:t>
            </w:r>
          </w:p>
          <w:p w:rsidR="005D5DC7" w:rsidRPr="004D05C9" w:rsidRDefault="005D5DC7" w:rsidP="00922A49">
            <w:pPr>
              <w:widowControl w:val="0"/>
              <w:spacing w:after="0" w:line="240" w:lineRule="auto"/>
              <w:rPr>
                <w:rFonts w:ascii="Times New Roman" w:eastAsia="Calibri" w:hAnsi="Times New Roman" w:cs="Times New Roman"/>
                <w:bCs/>
                <w:color w:val="000000"/>
                <w:sz w:val="20"/>
                <w:szCs w:val="20"/>
              </w:rPr>
            </w:pPr>
            <w:r w:rsidRPr="004D05C9">
              <w:rPr>
                <w:rFonts w:ascii="Times New Roman" w:eastAsia="Calibri" w:hAnsi="Times New Roman" w:cs="Times New Roman"/>
                <w:bCs/>
                <w:color w:val="000000"/>
                <w:sz w:val="20"/>
                <w:szCs w:val="20"/>
              </w:rPr>
              <w:t>Гражданство: Российская Федерация</w:t>
            </w:r>
          </w:p>
          <w:p w:rsidR="005D5DC7" w:rsidRPr="004D05C9" w:rsidRDefault="005D5DC7" w:rsidP="00922A49">
            <w:pPr>
              <w:widowControl w:val="0"/>
              <w:spacing w:after="0" w:line="240" w:lineRule="auto"/>
              <w:rPr>
                <w:rFonts w:ascii="Times New Roman" w:hAnsi="Times New Roman" w:cs="Times New Roman"/>
                <w:sz w:val="20"/>
                <w:szCs w:val="20"/>
              </w:rPr>
            </w:pPr>
            <w:r w:rsidRPr="004D05C9">
              <w:rPr>
                <w:rFonts w:ascii="Times New Roman" w:eastAsia="Calibri" w:hAnsi="Times New Roman" w:cs="Times New Roman"/>
                <w:bCs/>
                <w:color w:val="000000"/>
                <w:sz w:val="20"/>
                <w:szCs w:val="20"/>
              </w:rPr>
              <w:t>Образование: Высшее, Российский государственный университет нефти и газа им. И.М. Губкина, специализация Разработка и эксплуатация нефтяных и газовых месторождения, 2010 год окончания.</w:t>
            </w:r>
          </w:p>
        </w:tc>
      </w:tr>
    </w:tbl>
    <w:p w:rsidR="005D5DC7" w:rsidRPr="00B369F9" w:rsidRDefault="005D5DC7" w:rsidP="00116471">
      <w:pPr>
        <w:spacing w:after="0" w:line="240" w:lineRule="auto"/>
        <w:ind w:firstLine="709"/>
        <w:jc w:val="both"/>
        <w:rPr>
          <w:rFonts w:ascii="Times New Roman" w:eastAsia="Calibri" w:hAnsi="Times New Roman" w:cs="Times New Roman"/>
          <w:sz w:val="24"/>
          <w:szCs w:val="24"/>
        </w:rPr>
      </w:pP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Избрание членов Совета директоров осуществляется посредством процедуры (в соответствии с Уставом Общества), позволяющей акционерам получить информацию о кандидатах, достаточную для формирования представления об их личных и профессиональных качествах. Сведения о кандидатах, а также об акционерах, предложивших кандидатуры для включения в список для голосования по выборам в Совет директоров, размещаются на сайте Общества в разделах «Акционерам и инвесторам/Корпоративное управление/Общее собрание акционеров/Материалы к общим собраниям акционеров» и «Акционерам и инвесторам/Корпоративное управление/Совет директоров/Состав Совета директоров».</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w:t>
      </w:r>
      <w:r w:rsidR="000F5D7C"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году в состав Совета директоров независимые директора не избирались.</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Ответственность членов Совета директоров, избранных от ПАО «Россети», застрахована на период с 25.07.2022 по 24.07.2023 (договор страхования ответственности директоров, должностных лиц и компаний </w:t>
      </w:r>
      <w:r w:rsidR="00CA62A1" w:rsidRPr="00B369F9">
        <w:rPr>
          <w:rFonts w:ascii="Times New Roman" w:eastAsia="Calibri" w:hAnsi="Times New Roman" w:cs="Times New Roman"/>
          <w:sz w:val="24"/>
          <w:szCs w:val="24"/>
        </w:rPr>
        <w:t xml:space="preserve">ПАО «Россети» между лидером консорциума СПАО «Ингосстрах» и ПАО «Россети» </w:t>
      </w:r>
      <w:r w:rsidRPr="00B369F9">
        <w:rPr>
          <w:rFonts w:ascii="Times New Roman" w:eastAsia="Calibri" w:hAnsi="Times New Roman" w:cs="Times New Roman"/>
          <w:sz w:val="24"/>
          <w:szCs w:val="24"/>
        </w:rPr>
        <w:t>от 02.06.2022 № 442-042514/22).</w:t>
      </w:r>
    </w:p>
    <w:p w:rsidR="00322732" w:rsidRPr="00B369F9" w:rsidRDefault="00322732" w:rsidP="0032273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 целях продления страховой защиты членов Совета директоров АО «Чеченэнерго», избранных от ПАО «Россети», от рисков предъявления исковых требований по </w:t>
      </w:r>
      <w:r w:rsidR="005C7D59">
        <w:rPr>
          <w:rFonts w:ascii="Times New Roman" w:eastAsia="Calibri" w:hAnsi="Times New Roman" w:cs="Times New Roman"/>
          <w:sz w:val="24"/>
          <w:szCs w:val="24"/>
        </w:rPr>
        <w:t>н</w:t>
      </w:r>
      <w:r w:rsidRPr="00B369F9">
        <w:rPr>
          <w:rFonts w:ascii="Times New Roman" w:eastAsia="Calibri" w:hAnsi="Times New Roman" w:cs="Times New Roman"/>
          <w:sz w:val="24"/>
          <w:szCs w:val="24"/>
        </w:rPr>
        <w:t xml:space="preserve">еверным действиям, совершенным до 24.07.2023, в соответствии с п. 4 Договора приобретен </w:t>
      </w:r>
      <w:r w:rsidR="005C7D59">
        <w:rPr>
          <w:rFonts w:ascii="Times New Roman" w:eastAsia="Calibri" w:hAnsi="Times New Roman" w:cs="Times New Roman"/>
          <w:sz w:val="24"/>
          <w:szCs w:val="24"/>
        </w:rPr>
        <w:t>п</w:t>
      </w:r>
      <w:r w:rsidRPr="00B369F9">
        <w:rPr>
          <w:rFonts w:ascii="Times New Roman" w:eastAsia="Calibri" w:hAnsi="Times New Roman" w:cs="Times New Roman"/>
          <w:sz w:val="24"/>
          <w:szCs w:val="24"/>
        </w:rPr>
        <w:t xml:space="preserve">ериод </w:t>
      </w:r>
      <w:r w:rsidRPr="00B369F9">
        <w:rPr>
          <w:rFonts w:ascii="Times New Roman" w:eastAsia="Calibri" w:hAnsi="Times New Roman" w:cs="Times New Roman"/>
          <w:sz w:val="24"/>
          <w:szCs w:val="24"/>
        </w:rPr>
        <w:lastRenderedPageBreak/>
        <w:t>обнаружения сроком 1 год (лимит ответственности 10 млрд</w:t>
      </w:r>
      <w:r w:rsidR="00CA62A1"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руб</w:t>
      </w:r>
      <w:r w:rsidR="005C7D59">
        <w:rPr>
          <w:rFonts w:ascii="Times New Roman" w:eastAsia="Calibri" w:hAnsi="Times New Roman" w:cs="Times New Roman"/>
          <w:sz w:val="24"/>
          <w:szCs w:val="24"/>
        </w:rPr>
        <w:t>.</w:t>
      </w:r>
      <w:r w:rsidRPr="00B369F9">
        <w:rPr>
          <w:rFonts w:ascii="Times New Roman" w:eastAsia="Calibri" w:hAnsi="Times New Roman" w:cs="Times New Roman"/>
          <w:sz w:val="24"/>
          <w:szCs w:val="24"/>
        </w:rPr>
        <w:t>, ретроактивная дата –  01.07.2008).</w:t>
      </w:r>
    </w:p>
    <w:p w:rsidR="00322732" w:rsidRPr="00B369F9" w:rsidRDefault="00322732" w:rsidP="0032273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Обеспечение страховой защиты от рисков предъявления исковых требований по </w:t>
      </w:r>
      <w:r w:rsidR="005C7D59">
        <w:rPr>
          <w:rFonts w:ascii="Times New Roman" w:eastAsia="Calibri" w:hAnsi="Times New Roman" w:cs="Times New Roman"/>
          <w:sz w:val="24"/>
          <w:szCs w:val="24"/>
        </w:rPr>
        <w:t>н</w:t>
      </w:r>
      <w:r w:rsidRPr="00B369F9">
        <w:rPr>
          <w:rFonts w:ascii="Times New Roman" w:eastAsia="Calibri" w:hAnsi="Times New Roman" w:cs="Times New Roman"/>
          <w:sz w:val="24"/>
          <w:szCs w:val="24"/>
        </w:rPr>
        <w:t>еверным действиям, совершенным после 24.07.2023, осуществляется в рамках договора страхования ответственности директоров, должностных лиц и компаний, заключенного между АО «СОГАЗ» и ПАО «Россети» 23.10.2023 № 23DO0020 на период 1 год с 25.09.2023 по 24.09.2024.</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w:t>
      </w:r>
      <w:r w:rsidR="000F5D7C"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году специальная оценка работы Совета директоров не проводилась. Соответствующая методика оценки в Обществе не утверждена.</w:t>
      </w:r>
    </w:p>
    <w:p w:rsidR="00116471" w:rsidRPr="00B369F9" w:rsidRDefault="00116471" w:rsidP="00116471">
      <w:pPr>
        <w:spacing w:after="0" w:line="240" w:lineRule="auto"/>
        <w:ind w:right="-142" w:firstLine="709"/>
        <w:contextualSpacing/>
        <w:jc w:val="both"/>
        <w:rPr>
          <w:rFonts w:ascii="Times New Roman" w:eastAsia="Calibri" w:hAnsi="Times New Roman" w:cs="Times New Roman"/>
          <w:sz w:val="24"/>
          <w:szCs w:val="24"/>
        </w:rPr>
      </w:pPr>
      <w:r w:rsidRPr="000D0652">
        <w:rPr>
          <w:rFonts w:ascii="Times New Roman" w:eastAsia="Calibri" w:hAnsi="Times New Roman" w:cs="Times New Roman"/>
          <w:sz w:val="24"/>
          <w:szCs w:val="24"/>
        </w:rPr>
        <w:t>В 202</w:t>
      </w:r>
      <w:r w:rsidR="000F5D7C" w:rsidRPr="000D0652">
        <w:rPr>
          <w:rFonts w:ascii="Times New Roman" w:eastAsia="Calibri" w:hAnsi="Times New Roman" w:cs="Times New Roman"/>
          <w:sz w:val="24"/>
          <w:szCs w:val="24"/>
        </w:rPr>
        <w:t>3</w:t>
      </w:r>
      <w:r w:rsidRPr="000D0652">
        <w:rPr>
          <w:rFonts w:ascii="Times New Roman" w:eastAsia="Calibri" w:hAnsi="Times New Roman" w:cs="Times New Roman"/>
          <w:sz w:val="24"/>
          <w:szCs w:val="24"/>
        </w:rPr>
        <w:t xml:space="preserve"> году Общество не выдавало членам Совета директоров займы.</w:t>
      </w:r>
    </w:p>
    <w:p w:rsidR="004B2EAD" w:rsidRDefault="004B2EAD" w:rsidP="00116471">
      <w:pPr>
        <w:spacing w:after="0" w:line="240" w:lineRule="auto"/>
        <w:ind w:right="-142" w:firstLine="709"/>
        <w:contextualSpacing/>
        <w:jc w:val="both"/>
        <w:rPr>
          <w:rFonts w:ascii="Times New Roman" w:hAnsi="Times New Roman" w:cs="Times New Roman"/>
          <w:sz w:val="24"/>
          <w:szCs w:val="24"/>
        </w:rPr>
      </w:pPr>
      <w:r w:rsidRPr="004B2EAD">
        <w:rPr>
          <w:rFonts w:ascii="Times New Roman" w:hAnsi="Times New Roman" w:cs="Times New Roman"/>
          <w:sz w:val="24"/>
          <w:szCs w:val="24"/>
        </w:rPr>
        <w:t>В 2023 году Советом директоров не определялись приоритетные направления деятельности.</w:t>
      </w:r>
    </w:p>
    <w:p w:rsidR="00116471" w:rsidRPr="00B369F9" w:rsidRDefault="00116471" w:rsidP="00116471">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В 202</w:t>
      </w:r>
      <w:r w:rsidR="000F5D7C" w:rsidRPr="00B369F9">
        <w:rPr>
          <w:rFonts w:ascii="Times New Roman" w:hAnsi="Times New Roman" w:cs="Times New Roman"/>
          <w:sz w:val="24"/>
          <w:szCs w:val="24"/>
        </w:rPr>
        <w:t>3</w:t>
      </w:r>
      <w:r w:rsidRPr="00B369F9">
        <w:rPr>
          <w:rFonts w:ascii="Times New Roman" w:hAnsi="Times New Roman" w:cs="Times New Roman"/>
          <w:sz w:val="24"/>
          <w:szCs w:val="24"/>
        </w:rPr>
        <w:t xml:space="preserve"> году было проведено 3</w:t>
      </w:r>
      <w:r w:rsidR="000F5D7C" w:rsidRPr="00B369F9">
        <w:rPr>
          <w:rFonts w:ascii="Times New Roman" w:hAnsi="Times New Roman" w:cs="Times New Roman"/>
          <w:sz w:val="24"/>
          <w:szCs w:val="24"/>
        </w:rPr>
        <w:t>4</w:t>
      </w:r>
      <w:r w:rsidRPr="00B369F9">
        <w:rPr>
          <w:rFonts w:ascii="Times New Roman" w:hAnsi="Times New Roman" w:cs="Times New Roman"/>
          <w:sz w:val="24"/>
          <w:szCs w:val="24"/>
        </w:rPr>
        <w:t xml:space="preserve"> заседани</w:t>
      </w:r>
      <w:r w:rsidR="004B2EAD">
        <w:rPr>
          <w:rFonts w:ascii="Times New Roman" w:hAnsi="Times New Roman" w:cs="Times New Roman"/>
          <w:sz w:val="24"/>
          <w:szCs w:val="24"/>
        </w:rPr>
        <w:t>я</w:t>
      </w:r>
      <w:r w:rsidRPr="00B369F9">
        <w:rPr>
          <w:rFonts w:ascii="Times New Roman" w:hAnsi="Times New Roman" w:cs="Times New Roman"/>
          <w:sz w:val="24"/>
          <w:szCs w:val="24"/>
        </w:rPr>
        <w:t xml:space="preserve"> Совета директоров, все в заочной форме, на которых были рассмотрены </w:t>
      </w:r>
      <w:r w:rsidR="002E43AF" w:rsidRPr="00B369F9">
        <w:rPr>
          <w:rFonts w:ascii="Times New Roman" w:hAnsi="Times New Roman" w:cs="Times New Roman"/>
          <w:sz w:val="24"/>
          <w:szCs w:val="24"/>
        </w:rPr>
        <w:t>96</w:t>
      </w:r>
      <w:r w:rsidRPr="00B369F9">
        <w:rPr>
          <w:rFonts w:ascii="Times New Roman" w:hAnsi="Times New Roman" w:cs="Times New Roman"/>
          <w:sz w:val="24"/>
          <w:szCs w:val="24"/>
        </w:rPr>
        <w:t xml:space="preserve"> вопросов, по которым были приняты следующие решения по ключевым вопросам:</w:t>
      </w:r>
    </w:p>
    <w:p w:rsidR="006E0A49" w:rsidRPr="00B369F9" w:rsidRDefault="00116471"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6E0A49" w:rsidRPr="00B369F9">
        <w:rPr>
          <w:rFonts w:ascii="Times New Roman" w:hAnsi="Times New Roman" w:cs="Times New Roman"/>
          <w:sz w:val="24"/>
          <w:szCs w:val="24"/>
        </w:rPr>
        <w:t>утверд</w:t>
      </w:r>
      <w:r w:rsidR="00361178" w:rsidRPr="00B369F9">
        <w:rPr>
          <w:rFonts w:ascii="Times New Roman" w:hAnsi="Times New Roman" w:cs="Times New Roman"/>
          <w:sz w:val="24"/>
          <w:szCs w:val="24"/>
        </w:rPr>
        <w:t>ить</w:t>
      </w:r>
      <w:r w:rsidR="006E0A49" w:rsidRPr="00B369F9">
        <w:rPr>
          <w:rFonts w:ascii="Times New Roman" w:hAnsi="Times New Roman" w:cs="Times New Roman"/>
          <w:sz w:val="24"/>
          <w:szCs w:val="24"/>
        </w:rPr>
        <w:t xml:space="preserve"> Программ</w:t>
      </w:r>
      <w:r w:rsidR="00361178" w:rsidRPr="00B369F9">
        <w:rPr>
          <w:rFonts w:ascii="Times New Roman" w:hAnsi="Times New Roman" w:cs="Times New Roman"/>
          <w:sz w:val="24"/>
          <w:szCs w:val="24"/>
        </w:rPr>
        <w:t>у</w:t>
      </w:r>
      <w:r w:rsidR="006E0A49" w:rsidRPr="00B369F9">
        <w:rPr>
          <w:rFonts w:ascii="Times New Roman" w:hAnsi="Times New Roman" w:cs="Times New Roman"/>
          <w:sz w:val="24"/>
          <w:szCs w:val="24"/>
        </w:rPr>
        <w:t xml:space="preserve"> страховой защиты АО «Чеченэнерго» на 2023 год;</w:t>
      </w:r>
      <w:r w:rsidR="006E0A49" w:rsidRPr="00B369F9">
        <w:rPr>
          <w:rFonts w:ascii="Times New Roman" w:hAnsi="Times New Roman" w:cs="Times New Roman"/>
          <w:sz w:val="24"/>
          <w:szCs w:val="24"/>
        </w:rPr>
        <w:br/>
      </w:r>
      <w:r w:rsidR="006E0A49" w:rsidRPr="00B369F9">
        <w:rPr>
          <w:rFonts w:ascii="Times New Roman" w:hAnsi="Times New Roman" w:cs="Times New Roman"/>
          <w:sz w:val="24"/>
          <w:szCs w:val="24"/>
        </w:rPr>
        <w:tab/>
        <w:t xml:space="preserve">- присоединиться к Единому стандарту закупок Публичного акционерного общества «Федеральная сетевая компания </w:t>
      </w:r>
      <w:r w:rsidR="002F0AC5" w:rsidRPr="00B369F9">
        <w:rPr>
          <w:rFonts w:ascii="Times New Roman" w:hAnsi="Times New Roman" w:cs="Times New Roman"/>
          <w:sz w:val="24"/>
          <w:szCs w:val="24"/>
        </w:rPr>
        <w:t>–</w:t>
      </w:r>
      <w:r w:rsidR="006E0A49" w:rsidRPr="00B369F9">
        <w:rPr>
          <w:rFonts w:ascii="Times New Roman" w:hAnsi="Times New Roman" w:cs="Times New Roman"/>
          <w:sz w:val="24"/>
          <w:szCs w:val="24"/>
        </w:rPr>
        <w:t xml:space="preserve"> Россети» (Положение о закупке) в новой редакции;</w:t>
      </w:r>
    </w:p>
    <w:p w:rsidR="006E0A49" w:rsidRPr="00B369F9" w:rsidRDefault="006E0A49"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о</w:t>
      </w:r>
      <w:r w:rsidR="002F0AC5" w:rsidRPr="00B369F9">
        <w:rPr>
          <w:rFonts w:ascii="Times New Roman" w:hAnsi="Times New Roman" w:cs="Times New Roman"/>
          <w:sz w:val="24"/>
          <w:szCs w:val="24"/>
        </w:rPr>
        <w:t>добрить</w:t>
      </w:r>
      <w:r w:rsidRPr="00B369F9">
        <w:rPr>
          <w:rFonts w:ascii="Times New Roman" w:hAnsi="Times New Roman" w:cs="Times New Roman"/>
          <w:sz w:val="24"/>
          <w:szCs w:val="24"/>
        </w:rPr>
        <w:t xml:space="preserve"> проект изменений, вносимых в инвестиционную программу АО «Чеченэнерго» на период 2023-2027 годы;</w:t>
      </w:r>
    </w:p>
    <w:p w:rsidR="006E0A49" w:rsidRPr="00B369F9" w:rsidRDefault="006E0A49"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утверд</w:t>
      </w:r>
      <w:r w:rsidR="002F0AC5" w:rsidRPr="00B369F9">
        <w:rPr>
          <w:rFonts w:ascii="Times New Roman" w:hAnsi="Times New Roman" w:cs="Times New Roman"/>
          <w:sz w:val="24"/>
          <w:szCs w:val="24"/>
        </w:rPr>
        <w:t>ить</w:t>
      </w:r>
      <w:r w:rsidRPr="00B369F9">
        <w:rPr>
          <w:rFonts w:ascii="Times New Roman" w:hAnsi="Times New Roman" w:cs="Times New Roman"/>
          <w:sz w:val="24"/>
          <w:szCs w:val="24"/>
        </w:rPr>
        <w:t xml:space="preserve"> План развития АО «Чеченэнерго»;</w:t>
      </w:r>
    </w:p>
    <w:p w:rsidR="006E0A49" w:rsidRPr="00B369F9" w:rsidRDefault="006E0A49"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утверд</w:t>
      </w:r>
      <w:r w:rsidR="002F0AC5" w:rsidRPr="00B369F9">
        <w:rPr>
          <w:rFonts w:ascii="Times New Roman" w:hAnsi="Times New Roman" w:cs="Times New Roman"/>
          <w:sz w:val="24"/>
          <w:szCs w:val="24"/>
        </w:rPr>
        <w:t>ить</w:t>
      </w:r>
      <w:r w:rsidRPr="00B369F9">
        <w:rPr>
          <w:rFonts w:ascii="Times New Roman" w:hAnsi="Times New Roman" w:cs="Times New Roman"/>
          <w:sz w:val="24"/>
          <w:szCs w:val="24"/>
        </w:rPr>
        <w:t xml:space="preserve"> Регламент размещения временно свободных денежных средств АО «Чеченэнерго» в новой редакции;</w:t>
      </w:r>
    </w:p>
    <w:p w:rsidR="006E0A49" w:rsidRPr="00B369F9" w:rsidRDefault="006E0A49"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2F0AC5"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План (Программу) снижения потерь электрической энергии в электрических сетях АО «Чеченэнерго» на 2023-2027 годы;</w:t>
      </w:r>
    </w:p>
    <w:p w:rsidR="006E0A49" w:rsidRPr="00B369F9" w:rsidRDefault="006E0A49"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BD763B" w:rsidRPr="00B369F9">
        <w:rPr>
          <w:rFonts w:ascii="Times New Roman" w:hAnsi="Times New Roman" w:cs="Times New Roman"/>
          <w:sz w:val="24"/>
          <w:szCs w:val="24"/>
        </w:rPr>
        <w:t>созва</w:t>
      </w:r>
      <w:r w:rsidR="002F0AC5" w:rsidRPr="00B369F9">
        <w:rPr>
          <w:rFonts w:ascii="Times New Roman" w:hAnsi="Times New Roman" w:cs="Times New Roman"/>
          <w:sz w:val="24"/>
          <w:szCs w:val="24"/>
        </w:rPr>
        <w:t>ть</w:t>
      </w:r>
      <w:r w:rsidR="00BD763B" w:rsidRPr="00B369F9">
        <w:rPr>
          <w:rFonts w:ascii="Times New Roman" w:hAnsi="Times New Roman" w:cs="Times New Roman"/>
          <w:sz w:val="24"/>
          <w:szCs w:val="24"/>
        </w:rPr>
        <w:t xml:space="preserve"> годовое Общее собрание акционеров АО «Чеченэнерго» в форме заочного голосования;</w:t>
      </w:r>
    </w:p>
    <w:p w:rsidR="00BD763B" w:rsidRPr="00B369F9" w:rsidRDefault="00BD763B"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определ</w:t>
      </w:r>
      <w:r w:rsidR="002F0AC5" w:rsidRPr="00B369F9">
        <w:rPr>
          <w:rFonts w:ascii="Times New Roman" w:hAnsi="Times New Roman" w:cs="Times New Roman"/>
          <w:sz w:val="24"/>
          <w:szCs w:val="24"/>
        </w:rPr>
        <w:t>ить</w:t>
      </w:r>
      <w:r w:rsidRPr="00B369F9">
        <w:rPr>
          <w:rFonts w:ascii="Times New Roman" w:hAnsi="Times New Roman" w:cs="Times New Roman"/>
          <w:sz w:val="24"/>
          <w:szCs w:val="24"/>
        </w:rPr>
        <w:t xml:space="preserve"> дат</w:t>
      </w:r>
      <w:r w:rsidR="002F0AC5" w:rsidRPr="00B369F9">
        <w:rPr>
          <w:rFonts w:ascii="Times New Roman" w:hAnsi="Times New Roman" w:cs="Times New Roman"/>
          <w:sz w:val="24"/>
          <w:szCs w:val="24"/>
        </w:rPr>
        <w:t>у</w:t>
      </w:r>
      <w:r w:rsidRPr="00B369F9">
        <w:rPr>
          <w:rFonts w:ascii="Times New Roman" w:hAnsi="Times New Roman" w:cs="Times New Roman"/>
          <w:sz w:val="24"/>
          <w:szCs w:val="24"/>
        </w:rPr>
        <w:t xml:space="preserve"> проведения Общего собрания акционеров АО «Чеченэнерго» (дата окончания приема заполненных бюллетеней) – 06.06.2023;</w:t>
      </w:r>
    </w:p>
    <w:p w:rsidR="00BD763B" w:rsidRPr="00B369F9" w:rsidRDefault="00BD763B"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2F0AC5"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повестк</w:t>
      </w:r>
      <w:r w:rsidR="002F0AC5" w:rsidRPr="00B369F9">
        <w:rPr>
          <w:rFonts w:ascii="Times New Roman" w:hAnsi="Times New Roman" w:cs="Times New Roman"/>
          <w:sz w:val="24"/>
          <w:szCs w:val="24"/>
        </w:rPr>
        <w:t>у</w:t>
      </w:r>
      <w:r w:rsidRPr="00B369F9">
        <w:rPr>
          <w:rFonts w:ascii="Times New Roman" w:hAnsi="Times New Roman" w:cs="Times New Roman"/>
          <w:sz w:val="24"/>
          <w:szCs w:val="24"/>
        </w:rPr>
        <w:t xml:space="preserve"> дня годового Общего собрания акционеров АО «Чеченэнерго»;</w:t>
      </w:r>
    </w:p>
    <w:p w:rsidR="00BD763B" w:rsidRPr="00B369F9" w:rsidRDefault="00BD763B"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избра</w:t>
      </w:r>
      <w:r w:rsidR="002F0AC5" w:rsidRPr="00B369F9">
        <w:rPr>
          <w:rFonts w:ascii="Times New Roman" w:hAnsi="Times New Roman" w:cs="Times New Roman"/>
          <w:sz w:val="24"/>
          <w:szCs w:val="24"/>
        </w:rPr>
        <w:t>ть</w:t>
      </w:r>
      <w:r w:rsidRPr="00B369F9">
        <w:rPr>
          <w:rFonts w:ascii="Times New Roman" w:hAnsi="Times New Roman" w:cs="Times New Roman"/>
          <w:sz w:val="24"/>
          <w:szCs w:val="24"/>
        </w:rPr>
        <w:t xml:space="preserve"> секретарем годового Общего собрания акционеров АО «Чеченэнерго» Канцуров</w:t>
      </w:r>
      <w:r w:rsidR="002F0AC5" w:rsidRPr="00B369F9">
        <w:rPr>
          <w:rFonts w:ascii="Times New Roman" w:hAnsi="Times New Roman" w:cs="Times New Roman"/>
          <w:sz w:val="24"/>
          <w:szCs w:val="24"/>
        </w:rPr>
        <w:t>у</w:t>
      </w:r>
      <w:r w:rsidRPr="00B369F9">
        <w:rPr>
          <w:rFonts w:ascii="Times New Roman" w:hAnsi="Times New Roman" w:cs="Times New Roman"/>
          <w:sz w:val="24"/>
          <w:szCs w:val="24"/>
        </w:rPr>
        <w:t xml:space="preserve"> Наталь</w:t>
      </w:r>
      <w:r w:rsidR="002F0AC5" w:rsidRPr="00B369F9">
        <w:rPr>
          <w:rFonts w:ascii="Times New Roman" w:hAnsi="Times New Roman" w:cs="Times New Roman"/>
          <w:sz w:val="24"/>
          <w:szCs w:val="24"/>
        </w:rPr>
        <w:t>ю</w:t>
      </w:r>
      <w:r w:rsidRPr="00B369F9">
        <w:rPr>
          <w:rFonts w:ascii="Times New Roman" w:hAnsi="Times New Roman" w:cs="Times New Roman"/>
          <w:sz w:val="24"/>
          <w:szCs w:val="24"/>
        </w:rPr>
        <w:t xml:space="preserve"> Сергеевн</w:t>
      </w:r>
      <w:r w:rsidR="002F0AC5" w:rsidRPr="00B369F9">
        <w:rPr>
          <w:rFonts w:ascii="Times New Roman" w:hAnsi="Times New Roman" w:cs="Times New Roman"/>
          <w:sz w:val="24"/>
          <w:szCs w:val="24"/>
        </w:rPr>
        <w:t>у</w:t>
      </w:r>
      <w:r w:rsidRPr="00B369F9">
        <w:rPr>
          <w:rFonts w:ascii="Times New Roman" w:hAnsi="Times New Roman" w:cs="Times New Roman"/>
          <w:sz w:val="24"/>
          <w:szCs w:val="24"/>
        </w:rPr>
        <w:t>, главн</w:t>
      </w:r>
      <w:r w:rsidR="002F0AC5" w:rsidRPr="00B369F9">
        <w:rPr>
          <w:rFonts w:ascii="Times New Roman" w:hAnsi="Times New Roman" w:cs="Times New Roman"/>
          <w:sz w:val="24"/>
          <w:szCs w:val="24"/>
        </w:rPr>
        <w:t>ого</w:t>
      </w:r>
      <w:r w:rsidRPr="00B369F9">
        <w:rPr>
          <w:rFonts w:ascii="Times New Roman" w:hAnsi="Times New Roman" w:cs="Times New Roman"/>
          <w:sz w:val="24"/>
          <w:szCs w:val="24"/>
        </w:rPr>
        <w:t xml:space="preserve"> эксперт</w:t>
      </w:r>
      <w:r w:rsidR="002F0AC5" w:rsidRPr="00B369F9">
        <w:rPr>
          <w:rFonts w:ascii="Times New Roman" w:hAnsi="Times New Roman" w:cs="Times New Roman"/>
          <w:sz w:val="24"/>
          <w:szCs w:val="24"/>
        </w:rPr>
        <w:t>а</w:t>
      </w:r>
      <w:r w:rsidRPr="00B369F9">
        <w:rPr>
          <w:rFonts w:ascii="Times New Roman" w:hAnsi="Times New Roman" w:cs="Times New Roman"/>
          <w:sz w:val="24"/>
          <w:szCs w:val="24"/>
        </w:rPr>
        <w:t xml:space="preserve"> Отдела корпоративного управления Департамента корпоративного управления и взаимодействия с акционерами ПАО «Россети Северный Кавказ», корпоративн</w:t>
      </w:r>
      <w:r w:rsidR="002F0AC5" w:rsidRPr="00B369F9">
        <w:rPr>
          <w:rFonts w:ascii="Times New Roman" w:hAnsi="Times New Roman" w:cs="Times New Roman"/>
          <w:sz w:val="24"/>
          <w:szCs w:val="24"/>
        </w:rPr>
        <w:t>ого</w:t>
      </w:r>
      <w:r w:rsidRPr="00B369F9">
        <w:rPr>
          <w:rFonts w:ascii="Times New Roman" w:hAnsi="Times New Roman" w:cs="Times New Roman"/>
          <w:sz w:val="24"/>
          <w:szCs w:val="24"/>
        </w:rPr>
        <w:t xml:space="preserve"> секретар</w:t>
      </w:r>
      <w:r w:rsidR="002F0AC5" w:rsidRPr="00B369F9">
        <w:rPr>
          <w:rFonts w:ascii="Times New Roman" w:hAnsi="Times New Roman" w:cs="Times New Roman"/>
          <w:sz w:val="24"/>
          <w:szCs w:val="24"/>
        </w:rPr>
        <w:t>я</w:t>
      </w:r>
      <w:r w:rsidRPr="00B369F9">
        <w:rPr>
          <w:rFonts w:ascii="Times New Roman" w:hAnsi="Times New Roman" w:cs="Times New Roman"/>
          <w:sz w:val="24"/>
          <w:szCs w:val="24"/>
        </w:rPr>
        <w:t xml:space="preserve"> АО «Чеченэнерго»;</w:t>
      </w:r>
    </w:p>
    <w:p w:rsidR="00BD763B" w:rsidRPr="00B369F9" w:rsidRDefault="00BD763B" w:rsidP="000F5D7C">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2F0AC5" w:rsidRPr="00B369F9">
        <w:rPr>
          <w:rFonts w:ascii="Times New Roman" w:hAnsi="Times New Roman" w:cs="Times New Roman"/>
          <w:sz w:val="24"/>
          <w:szCs w:val="24"/>
        </w:rPr>
        <w:t xml:space="preserve">утвердить </w:t>
      </w:r>
      <w:r w:rsidR="00664196" w:rsidRPr="00B369F9">
        <w:rPr>
          <w:rFonts w:ascii="Times New Roman" w:hAnsi="Times New Roman" w:cs="Times New Roman"/>
          <w:sz w:val="24"/>
          <w:szCs w:val="24"/>
        </w:rPr>
        <w:t>смет</w:t>
      </w:r>
      <w:r w:rsidR="002F0AC5" w:rsidRPr="00B369F9">
        <w:rPr>
          <w:rFonts w:ascii="Times New Roman" w:hAnsi="Times New Roman" w:cs="Times New Roman"/>
          <w:sz w:val="24"/>
          <w:szCs w:val="24"/>
        </w:rPr>
        <w:t>у</w:t>
      </w:r>
      <w:r w:rsidR="00664196" w:rsidRPr="00B369F9">
        <w:rPr>
          <w:rFonts w:ascii="Times New Roman" w:hAnsi="Times New Roman" w:cs="Times New Roman"/>
          <w:sz w:val="24"/>
          <w:szCs w:val="24"/>
        </w:rPr>
        <w:t xml:space="preserve"> затрат, связанных с подготовкой и проведением годового Общего собрания акционеров АО «Чеченэнерго»;</w:t>
      </w:r>
    </w:p>
    <w:p w:rsidR="00664196" w:rsidRPr="00B369F9" w:rsidRDefault="00664196"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рекомендова</w:t>
      </w:r>
      <w:r w:rsidR="002F0AC5" w:rsidRPr="00B369F9">
        <w:rPr>
          <w:rFonts w:ascii="Times New Roman" w:hAnsi="Times New Roman" w:cs="Times New Roman"/>
          <w:sz w:val="24"/>
          <w:szCs w:val="24"/>
        </w:rPr>
        <w:t>ть</w:t>
      </w:r>
      <w:r w:rsidRPr="00B369F9">
        <w:rPr>
          <w:rFonts w:ascii="Times New Roman" w:hAnsi="Times New Roman" w:cs="Times New Roman"/>
          <w:sz w:val="24"/>
          <w:szCs w:val="24"/>
        </w:rPr>
        <w:t xml:space="preserve"> годовому Общему собранию акционеров АО «Чеченэнерго» принять решение не выплачивать дивиденды по обыкновенным акциям АО «Чеченэнерго» в связи с убытком, полученным АО «Чеченэнерго» по результатам 2022 года;</w:t>
      </w:r>
    </w:p>
    <w:p w:rsidR="00664196" w:rsidRPr="00B369F9" w:rsidRDefault="00664196"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предварительно </w:t>
      </w:r>
      <w:r w:rsidR="002F0AC5"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и вынес</w:t>
      </w:r>
      <w:r w:rsidR="002F0AC5" w:rsidRPr="00B369F9">
        <w:rPr>
          <w:rFonts w:ascii="Times New Roman" w:hAnsi="Times New Roman" w:cs="Times New Roman"/>
          <w:sz w:val="24"/>
          <w:szCs w:val="24"/>
        </w:rPr>
        <w:t>ти</w:t>
      </w:r>
      <w:r w:rsidRPr="00B369F9">
        <w:rPr>
          <w:rFonts w:ascii="Times New Roman" w:hAnsi="Times New Roman" w:cs="Times New Roman"/>
          <w:sz w:val="24"/>
          <w:szCs w:val="24"/>
        </w:rPr>
        <w:t xml:space="preserve"> на утверждение годов</w:t>
      </w:r>
      <w:r w:rsidR="00822F8F" w:rsidRPr="00B369F9">
        <w:rPr>
          <w:rFonts w:ascii="Times New Roman" w:hAnsi="Times New Roman" w:cs="Times New Roman"/>
          <w:sz w:val="24"/>
          <w:szCs w:val="24"/>
        </w:rPr>
        <w:t>ому</w:t>
      </w:r>
      <w:r w:rsidRPr="00B369F9">
        <w:rPr>
          <w:rFonts w:ascii="Times New Roman" w:hAnsi="Times New Roman" w:cs="Times New Roman"/>
          <w:sz w:val="24"/>
          <w:szCs w:val="24"/>
        </w:rPr>
        <w:t xml:space="preserve"> Общ</w:t>
      </w:r>
      <w:r w:rsidR="00822F8F" w:rsidRPr="00B369F9">
        <w:rPr>
          <w:rFonts w:ascii="Times New Roman" w:hAnsi="Times New Roman" w:cs="Times New Roman"/>
          <w:sz w:val="24"/>
          <w:szCs w:val="24"/>
        </w:rPr>
        <w:t>е</w:t>
      </w:r>
      <w:r w:rsidR="00E955BA" w:rsidRPr="00B369F9">
        <w:rPr>
          <w:rFonts w:ascii="Times New Roman" w:hAnsi="Times New Roman" w:cs="Times New Roman"/>
          <w:sz w:val="24"/>
          <w:szCs w:val="24"/>
        </w:rPr>
        <w:t>м</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собрани</w:t>
      </w:r>
      <w:r w:rsidR="00822F8F" w:rsidRPr="00B369F9">
        <w:rPr>
          <w:rFonts w:ascii="Times New Roman" w:hAnsi="Times New Roman" w:cs="Times New Roman"/>
          <w:sz w:val="24"/>
          <w:szCs w:val="24"/>
        </w:rPr>
        <w:t>ю</w:t>
      </w:r>
      <w:r w:rsidRPr="00B369F9">
        <w:rPr>
          <w:rFonts w:ascii="Times New Roman" w:hAnsi="Times New Roman" w:cs="Times New Roman"/>
          <w:sz w:val="24"/>
          <w:szCs w:val="24"/>
        </w:rPr>
        <w:t xml:space="preserve"> акционеров Общества годов</w:t>
      </w:r>
      <w:r w:rsidR="00E955BA" w:rsidRPr="00B369F9">
        <w:rPr>
          <w:rFonts w:ascii="Times New Roman" w:hAnsi="Times New Roman" w:cs="Times New Roman"/>
          <w:sz w:val="24"/>
          <w:szCs w:val="24"/>
        </w:rPr>
        <w:t>ую</w:t>
      </w:r>
      <w:r w:rsidRPr="00B369F9">
        <w:rPr>
          <w:rFonts w:ascii="Times New Roman" w:hAnsi="Times New Roman" w:cs="Times New Roman"/>
          <w:sz w:val="24"/>
          <w:szCs w:val="24"/>
        </w:rPr>
        <w:t xml:space="preserve"> бухгалтерск</w:t>
      </w:r>
      <w:r w:rsidR="00E955BA" w:rsidRPr="00B369F9">
        <w:rPr>
          <w:rFonts w:ascii="Times New Roman" w:hAnsi="Times New Roman" w:cs="Times New Roman"/>
          <w:sz w:val="24"/>
          <w:szCs w:val="24"/>
        </w:rPr>
        <w:t>ую</w:t>
      </w:r>
      <w:r w:rsidRPr="00B369F9">
        <w:rPr>
          <w:rFonts w:ascii="Times New Roman" w:hAnsi="Times New Roman" w:cs="Times New Roman"/>
          <w:sz w:val="24"/>
          <w:szCs w:val="24"/>
        </w:rPr>
        <w:t xml:space="preserve"> (финансов</w:t>
      </w:r>
      <w:r w:rsidR="00E955BA" w:rsidRPr="00B369F9">
        <w:rPr>
          <w:rFonts w:ascii="Times New Roman" w:hAnsi="Times New Roman" w:cs="Times New Roman"/>
          <w:sz w:val="24"/>
          <w:szCs w:val="24"/>
        </w:rPr>
        <w:t>ую</w:t>
      </w:r>
      <w:r w:rsidRPr="00B369F9">
        <w:rPr>
          <w:rFonts w:ascii="Times New Roman" w:hAnsi="Times New Roman" w:cs="Times New Roman"/>
          <w:sz w:val="24"/>
          <w:szCs w:val="24"/>
        </w:rPr>
        <w:t>) отчетность Общества за 2022 год;</w:t>
      </w:r>
    </w:p>
    <w:p w:rsidR="007A794A" w:rsidRPr="00B369F9" w:rsidRDefault="00664196"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r>
      <w:r w:rsidR="007A794A" w:rsidRPr="00B369F9">
        <w:rPr>
          <w:rFonts w:ascii="Times New Roman" w:hAnsi="Times New Roman" w:cs="Times New Roman"/>
          <w:sz w:val="24"/>
          <w:szCs w:val="24"/>
        </w:rPr>
        <w:t xml:space="preserve">- предварительно </w:t>
      </w:r>
      <w:r w:rsidR="00822F8F" w:rsidRPr="00B369F9">
        <w:rPr>
          <w:rFonts w:ascii="Times New Roman" w:hAnsi="Times New Roman" w:cs="Times New Roman"/>
          <w:sz w:val="24"/>
          <w:szCs w:val="24"/>
        </w:rPr>
        <w:t xml:space="preserve">утвердить </w:t>
      </w:r>
      <w:r w:rsidR="007A794A" w:rsidRPr="00B369F9">
        <w:rPr>
          <w:rFonts w:ascii="Times New Roman" w:hAnsi="Times New Roman" w:cs="Times New Roman"/>
          <w:sz w:val="24"/>
          <w:szCs w:val="24"/>
        </w:rPr>
        <w:t>годовой отчет АО «Чеченэнерго» за 2022 год и рекомендова</w:t>
      </w:r>
      <w:r w:rsidR="00822F8F" w:rsidRPr="00B369F9">
        <w:rPr>
          <w:rFonts w:ascii="Times New Roman" w:hAnsi="Times New Roman" w:cs="Times New Roman"/>
          <w:sz w:val="24"/>
          <w:szCs w:val="24"/>
        </w:rPr>
        <w:t>ть</w:t>
      </w:r>
      <w:r w:rsidR="007A794A" w:rsidRPr="00B369F9">
        <w:rPr>
          <w:rFonts w:ascii="Times New Roman" w:hAnsi="Times New Roman" w:cs="Times New Roman"/>
          <w:sz w:val="24"/>
          <w:szCs w:val="24"/>
        </w:rPr>
        <w:t xml:space="preserve"> годовому Общему собранию акционеров Общества утвердить годовой отчет;</w:t>
      </w:r>
    </w:p>
    <w:p w:rsidR="00664196" w:rsidRPr="00B369F9" w:rsidRDefault="00664196" w:rsidP="007A794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предлож</w:t>
      </w:r>
      <w:r w:rsidR="00822F8F" w:rsidRPr="00B369F9">
        <w:rPr>
          <w:rFonts w:ascii="Times New Roman" w:hAnsi="Times New Roman" w:cs="Times New Roman"/>
          <w:sz w:val="24"/>
          <w:szCs w:val="24"/>
        </w:rPr>
        <w:t>ить</w:t>
      </w:r>
      <w:r w:rsidRPr="00B369F9">
        <w:rPr>
          <w:rFonts w:ascii="Times New Roman" w:hAnsi="Times New Roman" w:cs="Times New Roman"/>
          <w:sz w:val="24"/>
          <w:szCs w:val="24"/>
        </w:rPr>
        <w:t xml:space="preserve"> годовому Общему собранию акционеров АО «Чеченэнерго» принять следующее решение по вопросу «Об увеличении уставного капитала АО «Чеченэнерго» путем размещения дополнительных акций»:</w:t>
      </w:r>
    </w:p>
    <w:p w:rsidR="00664196" w:rsidRPr="00B369F9" w:rsidRDefault="00664196" w:rsidP="00664196">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«Увеличить уставный капитал АО «Чеченэнерго» путем размещения дополнительных обыкновенных акций в количестве 10 705 462 997 (Десять миллиардов семьсот пять миллионов четыреста шестьдесят две тысячи девятьсот девяносто семь) штук номинальной стоимостью 1 (Один)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 xml:space="preserve"> каждая на общую сумму по номинальной стоимости акций 10 705 </w:t>
      </w:r>
      <w:r w:rsidRPr="00B369F9">
        <w:rPr>
          <w:rFonts w:ascii="Times New Roman" w:hAnsi="Times New Roman" w:cs="Times New Roman"/>
          <w:sz w:val="24"/>
          <w:szCs w:val="24"/>
        </w:rPr>
        <w:lastRenderedPageBreak/>
        <w:t xml:space="preserve">462 997 (Десять миллиардов семьсот пять миллионов четыреста шестьдесят две тысячи девятьсот девяносто семь) </w:t>
      </w:r>
      <w:r w:rsidR="00C42A1B" w:rsidRPr="00B369F9">
        <w:rPr>
          <w:rFonts w:ascii="Times New Roman" w:hAnsi="Times New Roman" w:cs="Times New Roman"/>
          <w:sz w:val="24"/>
          <w:szCs w:val="24"/>
        </w:rPr>
        <w:t>руб.</w:t>
      </w:r>
      <w:r w:rsidRPr="00B369F9">
        <w:rPr>
          <w:rFonts w:ascii="Times New Roman" w:hAnsi="Times New Roman" w:cs="Times New Roman"/>
          <w:sz w:val="24"/>
          <w:szCs w:val="24"/>
        </w:rPr>
        <w:t xml:space="preserve"> на следующих основных условиях: </w:t>
      </w:r>
    </w:p>
    <w:p w:rsidR="00664196" w:rsidRPr="00B369F9" w:rsidRDefault="00664196" w:rsidP="004C066C">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1. Способ размещения дополнительных обыкновенных акций АО «Чеченэнерго» – закрытая подписка.</w:t>
      </w:r>
    </w:p>
    <w:p w:rsidR="00664196" w:rsidRPr="00B369F9" w:rsidRDefault="00664196" w:rsidP="004C066C">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2. Цена размещения дополнительных акций АО «Чеченэнерго» – цена размещения одной дополнительной обыкновенной акции АО «Чеченэнерго» будет определена Советом директоров Общества в соответствии со ст. 36 и ст. 77 Федерального закона «Об</w:t>
      </w:r>
      <w:r w:rsidR="006B74D2" w:rsidRPr="00B369F9">
        <w:rPr>
          <w:rFonts w:ascii="Times New Roman" w:hAnsi="Times New Roman" w:cs="Times New Roman"/>
          <w:sz w:val="24"/>
          <w:szCs w:val="24"/>
        </w:rPr>
        <w:t> </w:t>
      </w:r>
      <w:r w:rsidRPr="00B369F9">
        <w:rPr>
          <w:rFonts w:ascii="Times New Roman" w:hAnsi="Times New Roman" w:cs="Times New Roman"/>
          <w:sz w:val="24"/>
          <w:szCs w:val="24"/>
        </w:rPr>
        <w:t>акционерных обществах» до даты начала размещения дополнительных обыкновенных акций АО «Чеченэнерго».</w:t>
      </w:r>
    </w:p>
    <w:p w:rsidR="00664196" w:rsidRPr="00B369F9" w:rsidRDefault="00664196" w:rsidP="004C066C">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3. Круг лиц, среди которых предполагается осуществить размещение дополнительных обыкновенных акций АО «Чеченэнерго»:</w:t>
      </w:r>
    </w:p>
    <w:p w:rsidR="00664196" w:rsidRPr="00B369F9" w:rsidRDefault="00664196" w:rsidP="00822F8F">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1) Публичное акционерное общество «Федеральная сетевая компания – Россети» (ОГРН</w:t>
      </w:r>
      <w:r w:rsidR="00822F8F" w:rsidRPr="00B369F9">
        <w:rPr>
          <w:rFonts w:ascii="Times New Roman" w:hAnsi="Times New Roman" w:cs="Times New Roman"/>
          <w:sz w:val="24"/>
          <w:szCs w:val="24"/>
        </w:rPr>
        <w:t> </w:t>
      </w:r>
      <w:r w:rsidRPr="00B369F9">
        <w:rPr>
          <w:rFonts w:ascii="Times New Roman" w:hAnsi="Times New Roman" w:cs="Times New Roman"/>
          <w:sz w:val="24"/>
          <w:szCs w:val="24"/>
        </w:rPr>
        <w:t>1024701893336).</w:t>
      </w:r>
    </w:p>
    <w:p w:rsidR="00664196" w:rsidRPr="00B369F9" w:rsidRDefault="00664196" w:rsidP="004C066C">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4. Форма оплаты дополнительных обыкновенных акций АО «Чеченэнерго» – денежными средствами в </w:t>
      </w:r>
      <w:r w:rsidR="00C42A1B" w:rsidRPr="00B369F9">
        <w:rPr>
          <w:rFonts w:ascii="Times New Roman" w:hAnsi="Times New Roman" w:cs="Times New Roman"/>
          <w:sz w:val="24"/>
          <w:szCs w:val="24"/>
        </w:rPr>
        <w:t>руб.</w:t>
      </w:r>
      <w:r w:rsidRPr="00B369F9">
        <w:rPr>
          <w:rFonts w:ascii="Times New Roman" w:hAnsi="Times New Roman" w:cs="Times New Roman"/>
          <w:sz w:val="24"/>
          <w:szCs w:val="24"/>
        </w:rPr>
        <w:t xml:space="preserve"> Российской Федерации в безналичной форме».</w:t>
      </w:r>
    </w:p>
    <w:p w:rsidR="00664196" w:rsidRPr="00B369F9" w:rsidRDefault="00664196"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7A794A" w:rsidRPr="00B369F9">
        <w:rPr>
          <w:rFonts w:ascii="Times New Roman" w:hAnsi="Times New Roman" w:cs="Times New Roman"/>
          <w:sz w:val="24"/>
          <w:szCs w:val="24"/>
        </w:rPr>
        <w:t>предлож</w:t>
      </w:r>
      <w:r w:rsidR="00822F8F" w:rsidRPr="00B369F9">
        <w:rPr>
          <w:rFonts w:ascii="Times New Roman" w:hAnsi="Times New Roman" w:cs="Times New Roman"/>
          <w:sz w:val="24"/>
          <w:szCs w:val="24"/>
        </w:rPr>
        <w:t>ить</w:t>
      </w:r>
      <w:r w:rsidR="007A794A" w:rsidRPr="00B369F9">
        <w:rPr>
          <w:rFonts w:ascii="Times New Roman" w:hAnsi="Times New Roman" w:cs="Times New Roman"/>
          <w:sz w:val="24"/>
          <w:szCs w:val="24"/>
        </w:rPr>
        <w:t xml:space="preserve"> годовому Общему собранию акционеров Общества назначить аудиторской организацией АО «Чеченэнерго» объединение аудиторов (коллективного участника) в составе ООО «ЦАТР – аудиторские услуги» (лидер коллективного участника) (ИНН 7709383532, КПП 770501001, адрес: 115035, город Москва, Садовническая набережная, дом 77, строение 1) и ООО «АКК «Кроу Аудэкс» (ИНН 1655301258, КПП 165501001, адрес: Республика Татарстан, город Казань, улица Сафьян, дом 8, этаж 3, помещение 24) (член коллективного участника);</w:t>
      </w:r>
    </w:p>
    <w:p w:rsidR="007A794A" w:rsidRPr="00B369F9" w:rsidRDefault="007A794A"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Политик</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управления рисками и внутреннего контроля АО «Чеченэнерго»;</w:t>
      </w:r>
    </w:p>
    <w:p w:rsidR="007A794A" w:rsidRPr="00B369F9" w:rsidRDefault="007A794A"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избра</w:t>
      </w:r>
      <w:r w:rsidR="00822F8F" w:rsidRPr="00B369F9">
        <w:rPr>
          <w:rFonts w:ascii="Times New Roman" w:hAnsi="Times New Roman" w:cs="Times New Roman"/>
          <w:sz w:val="24"/>
          <w:szCs w:val="24"/>
        </w:rPr>
        <w:t>ть</w:t>
      </w:r>
      <w:r w:rsidRPr="00B369F9">
        <w:rPr>
          <w:rFonts w:ascii="Times New Roman" w:hAnsi="Times New Roman" w:cs="Times New Roman"/>
          <w:sz w:val="24"/>
          <w:szCs w:val="24"/>
        </w:rPr>
        <w:t xml:space="preserve"> Председателем Совета директоров АО «Чеченэнерго» Кадиров</w:t>
      </w:r>
      <w:r w:rsidR="00822F8F" w:rsidRPr="00B369F9">
        <w:rPr>
          <w:rFonts w:ascii="Times New Roman" w:hAnsi="Times New Roman" w:cs="Times New Roman"/>
          <w:sz w:val="24"/>
          <w:szCs w:val="24"/>
        </w:rPr>
        <w:t>а</w:t>
      </w:r>
      <w:r w:rsidRPr="00B369F9">
        <w:rPr>
          <w:rFonts w:ascii="Times New Roman" w:hAnsi="Times New Roman" w:cs="Times New Roman"/>
          <w:sz w:val="24"/>
          <w:szCs w:val="24"/>
        </w:rPr>
        <w:t xml:space="preserve"> Ис</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Салаудинович</w:t>
      </w:r>
      <w:r w:rsidR="00822F8F" w:rsidRPr="00B369F9">
        <w:rPr>
          <w:rFonts w:ascii="Times New Roman" w:hAnsi="Times New Roman" w:cs="Times New Roman"/>
          <w:sz w:val="24"/>
          <w:szCs w:val="24"/>
        </w:rPr>
        <w:t>а</w:t>
      </w:r>
      <w:r w:rsidRPr="00B369F9">
        <w:rPr>
          <w:rFonts w:ascii="Times New Roman" w:hAnsi="Times New Roman" w:cs="Times New Roman"/>
          <w:sz w:val="24"/>
          <w:szCs w:val="24"/>
        </w:rPr>
        <w:t>, управляющ</w:t>
      </w:r>
      <w:r w:rsidR="00822F8F" w:rsidRPr="00B369F9">
        <w:rPr>
          <w:rFonts w:ascii="Times New Roman" w:hAnsi="Times New Roman" w:cs="Times New Roman"/>
          <w:sz w:val="24"/>
          <w:szCs w:val="24"/>
        </w:rPr>
        <w:t>его</w:t>
      </w:r>
      <w:r w:rsidRPr="00B369F9">
        <w:rPr>
          <w:rFonts w:ascii="Times New Roman" w:hAnsi="Times New Roman" w:cs="Times New Roman"/>
          <w:sz w:val="24"/>
          <w:szCs w:val="24"/>
        </w:rPr>
        <w:t xml:space="preserve"> директор</w:t>
      </w:r>
      <w:r w:rsidR="00822F8F" w:rsidRPr="00B369F9">
        <w:rPr>
          <w:rFonts w:ascii="Times New Roman" w:hAnsi="Times New Roman" w:cs="Times New Roman"/>
          <w:sz w:val="24"/>
          <w:szCs w:val="24"/>
        </w:rPr>
        <w:t>а</w:t>
      </w:r>
      <w:r w:rsidRPr="00B369F9">
        <w:rPr>
          <w:rFonts w:ascii="Times New Roman" w:hAnsi="Times New Roman" w:cs="Times New Roman"/>
          <w:sz w:val="24"/>
          <w:szCs w:val="24"/>
        </w:rPr>
        <w:t xml:space="preserve"> АО «Чеченэнерго»;</w:t>
      </w:r>
    </w:p>
    <w:p w:rsidR="007A794A" w:rsidRPr="00B369F9" w:rsidRDefault="007A794A"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F3417" w:rsidRPr="00B369F9">
        <w:rPr>
          <w:rFonts w:ascii="Times New Roman" w:hAnsi="Times New Roman" w:cs="Times New Roman"/>
          <w:sz w:val="24"/>
          <w:szCs w:val="24"/>
        </w:rPr>
        <w:t>определ</w:t>
      </w:r>
      <w:r w:rsidR="00822F8F" w:rsidRPr="00B369F9">
        <w:rPr>
          <w:rFonts w:ascii="Times New Roman" w:hAnsi="Times New Roman" w:cs="Times New Roman"/>
          <w:sz w:val="24"/>
          <w:szCs w:val="24"/>
        </w:rPr>
        <w:t>ить</w:t>
      </w:r>
      <w:r w:rsidR="008F3417" w:rsidRPr="00B369F9">
        <w:rPr>
          <w:rFonts w:ascii="Times New Roman" w:hAnsi="Times New Roman" w:cs="Times New Roman"/>
          <w:sz w:val="24"/>
          <w:szCs w:val="24"/>
        </w:rPr>
        <w:t xml:space="preserve"> размер оплаты услуг аудиторской организации АО «Чеченэнерго» объединения аудиторов (коллективного участника) в составе ООО «ЦАТР – аудиторские услуги» (ИНН 7709383532) (лидер коллективного участника) и ООО «АКК «Кроу Аудэкс» (ИНН 1655301258) (член коллективного участника) на проведение аудита бухгалтерской (финансовой) отчетности за 2023 год в размере 235 586 (Двести тридцать пять тысяч пятьсот восемьдесят шесть) </w:t>
      </w:r>
      <w:r w:rsidR="00C42A1B" w:rsidRPr="00B369F9">
        <w:rPr>
          <w:rFonts w:ascii="Times New Roman" w:hAnsi="Times New Roman" w:cs="Times New Roman"/>
          <w:sz w:val="24"/>
          <w:szCs w:val="24"/>
        </w:rPr>
        <w:t>руб.</w:t>
      </w:r>
      <w:r w:rsidR="008F3417" w:rsidRPr="00B369F9">
        <w:rPr>
          <w:rFonts w:ascii="Times New Roman" w:hAnsi="Times New Roman" w:cs="Times New Roman"/>
          <w:sz w:val="24"/>
          <w:szCs w:val="24"/>
        </w:rPr>
        <w:t xml:space="preserve"> 92 копейки, с учетом НДС (20%);</w:t>
      </w:r>
    </w:p>
    <w:p w:rsidR="008F3417" w:rsidRPr="00B369F9" w:rsidRDefault="008F3417"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00B56A21" w:rsidRPr="00B369F9">
        <w:rPr>
          <w:rFonts w:ascii="Times New Roman" w:hAnsi="Times New Roman" w:cs="Times New Roman"/>
          <w:sz w:val="24"/>
          <w:szCs w:val="24"/>
        </w:rPr>
        <w:t>Регламент переустройства объектов АО «Чеченэнерго», осуществляемого по инициативе третьих лиц;</w:t>
      </w:r>
    </w:p>
    <w:p w:rsidR="00B56A21" w:rsidRPr="00B369F9" w:rsidRDefault="00B56A21"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Антикоррупционную политику АО «Чеченэнерго» в качестве внутреннего документа АО «Чеченэнерго»;</w:t>
      </w:r>
    </w:p>
    <w:p w:rsidR="00B56A21" w:rsidRPr="00B369F9" w:rsidRDefault="00B56A21"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Стандарт качества обслуживания потребителей услуг АО «Чеченэнерго»;</w:t>
      </w:r>
    </w:p>
    <w:p w:rsidR="00B56A21" w:rsidRPr="00B369F9" w:rsidRDefault="00B56A21"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определ</w:t>
      </w:r>
      <w:r w:rsidR="00822F8F" w:rsidRPr="00B369F9">
        <w:rPr>
          <w:rFonts w:ascii="Times New Roman" w:hAnsi="Times New Roman" w:cs="Times New Roman"/>
          <w:sz w:val="24"/>
          <w:szCs w:val="24"/>
        </w:rPr>
        <w:t>ить</w:t>
      </w:r>
      <w:r w:rsidRPr="00B369F9">
        <w:rPr>
          <w:rFonts w:ascii="Times New Roman" w:hAnsi="Times New Roman" w:cs="Times New Roman"/>
          <w:sz w:val="24"/>
          <w:szCs w:val="24"/>
        </w:rPr>
        <w:t xml:space="preserve"> в соответствии со ст. 36 и ст. 77 Федерального закона от 26.12.1995 № 208-ФЗ «Об акционерных обществах» цен</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размещения одной дополнительной обыкновенной акции АО «Чеченэнерго» в размере 1 (Один) руб</w:t>
      </w:r>
      <w:r w:rsidR="00F14FAB" w:rsidRPr="00B369F9">
        <w:rPr>
          <w:rFonts w:ascii="Times New Roman" w:hAnsi="Times New Roman" w:cs="Times New Roman"/>
          <w:sz w:val="24"/>
          <w:szCs w:val="24"/>
        </w:rPr>
        <w:t>.</w:t>
      </w:r>
      <w:r w:rsidRPr="00B369F9">
        <w:rPr>
          <w:rFonts w:ascii="Times New Roman" w:hAnsi="Times New Roman" w:cs="Times New Roman"/>
          <w:sz w:val="24"/>
          <w:szCs w:val="24"/>
        </w:rPr>
        <w:t>;</w:t>
      </w:r>
    </w:p>
    <w:p w:rsidR="00B56A21" w:rsidRPr="00B369F9" w:rsidRDefault="00B56A21"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документ, содержащий условия размещения ценных бумаг АО «Чеченэнерго», - акций обыкновенных, размещаемых путем закрытой подписки;</w:t>
      </w:r>
    </w:p>
    <w:p w:rsidR="00B56A21" w:rsidRPr="00B369F9" w:rsidRDefault="00B56A21"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00F839ED" w:rsidRPr="00B369F9">
        <w:rPr>
          <w:rFonts w:ascii="Times New Roman" w:hAnsi="Times New Roman" w:cs="Times New Roman"/>
          <w:sz w:val="24"/>
          <w:szCs w:val="24"/>
        </w:rPr>
        <w:t>План работы Совета директоров АО «Чеченэнерго» на 2023-2024 корпоративный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бизнес-план АО «Чеченэнерго» на 2023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отчет об исполнении Плана закупок АО «Чеченэнерго» за 2022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принят</w:t>
      </w:r>
      <w:r w:rsidR="00822F8F" w:rsidRPr="00B369F9">
        <w:rPr>
          <w:rFonts w:ascii="Times New Roman" w:hAnsi="Times New Roman" w:cs="Times New Roman"/>
          <w:sz w:val="24"/>
          <w:szCs w:val="24"/>
        </w:rPr>
        <w:t>ь</w:t>
      </w:r>
      <w:r w:rsidRPr="00B369F9">
        <w:rPr>
          <w:rFonts w:ascii="Times New Roman" w:hAnsi="Times New Roman" w:cs="Times New Roman"/>
          <w:sz w:val="24"/>
          <w:szCs w:val="24"/>
        </w:rPr>
        <w:t xml:space="preserve"> к сведению отчет об исполнении Плана развития АО «Чеченэнерго» за 2022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принят</w:t>
      </w:r>
      <w:r w:rsidR="00822F8F" w:rsidRPr="00B369F9">
        <w:rPr>
          <w:rFonts w:ascii="Times New Roman" w:hAnsi="Times New Roman" w:cs="Times New Roman"/>
          <w:sz w:val="24"/>
          <w:szCs w:val="24"/>
        </w:rPr>
        <w:t>ь</w:t>
      </w:r>
      <w:r w:rsidRPr="00B369F9">
        <w:rPr>
          <w:rFonts w:ascii="Times New Roman" w:hAnsi="Times New Roman" w:cs="Times New Roman"/>
          <w:sz w:val="24"/>
          <w:szCs w:val="24"/>
        </w:rPr>
        <w:t xml:space="preserve"> к сведению отчет об исполнении бизнес-плана АО «Чеченэнерго» за 2022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Отчет о выполнении ключевых показателей эффективности (КПЭ) единоличного исполнительного органа АО «Чеченэнерго» за 2022 год;</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Программ</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отчуждения непрофильных активов АО «Чеченэнерго» в новой редакции;</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Дорожн</w:t>
      </w:r>
      <w:r w:rsidR="00822F8F" w:rsidRPr="00B369F9">
        <w:rPr>
          <w:rFonts w:ascii="Times New Roman" w:hAnsi="Times New Roman" w:cs="Times New Roman"/>
          <w:sz w:val="24"/>
          <w:szCs w:val="24"/>
        </w:rPr>
        <w:t>ую</w:t>
      </w:r>
      <w:r w:rsidRPr="00B369F9">
        <w:rPr>
          <w:rFonts w:ascii="Times New Roman" w:hAnsi="Times New Roman" w:cs="Times New Roman"/>
          <w:sz w:val="24"/>
          <w:szCs w:val="24"/>
        </w:rPr>
        <w:t xml:space="preserve"> кар</w:t>
      </w:r>
      <w:r w:rsidR="00822F8F" w:rsidRPr="00B369F9">
        <w:rPr>
          <w:rFonts w:ascii="Times New Roman" w:hAnsi="Times New Roman" w:cs="Times New Roman"/>
          <w:sz w:val="24"/>
          <w:szCs w:val="24"/>
        </w:rPr>
        <w:t>ту</w:t>
      </w:r>
      <w:r w:rsidRPr="00B369F9">
        <w:rPr>
          <w:rFonts w:ascii="Times New Roman" w:hAnsi="Times New Roman" w:cs="Times New Roman"/>
          <w:sz w:val="24"/>
          <w:szCs w:val="24"/>
        </w:rPr>
        <w:t xml:space="preserve"> по внедрению Стандартов качества обслуживания потребителей услуг АО «Чеченэнерго»;</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перечень ключевых показателей эффективности, функциональных ключевых показателей эффективности АО «Чеченэнерго» и их целевые значения на 2023, 2024 и 2025 годы;</w:t>
      </w:r>
    </w:p>
    <w:p w:rsidR="00F839ED" w:rsidRPr="00B369F9" w:rsidRDefault="00F839ED" w:rsidP="00664196">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Политик</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в области качества АО «Чеченэнерго»;</w:t>
      </w:r>
    </w:p>
    <w:p w:rsidR="00116471" w:rsidRPr="00B369F9" w:rsidRDefault="00F839ED" w:rsidP="005D5DC7">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 </w:t>
      </w:r>
      <w:r w:rsidR="00822F8F" w:rsidRPr="00B369F9">
        <w:rPr>
          <w:rFonts w:ascii="Times New Roman" w:hAnsi="Times New Roman" w:cs="Times New Roman"/>
          <w:sz w:val="24"/>
          <w:szCs w:val="24"/>
        </w:rPr>
        <w:t xml:space="preserve">утвердить </w:t>
      </w:r>
      <w:r w:rsidRPr="00B369F9">
        <w:rPr>
          <w:rFonts w:ascii="Times New Roman" w:hAnsi="Times New Roman" w:cs="Times New Roman"/>
          <w:sz w:val="24"/>
          <w:szCs w:val="24"/>
        </w:rPr>
        <w:t>Политик</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в области устойчивого развития ПАО «Россети» и Политик</w:t>
      </w:r>
      <w:r w:rsidR="00822F8F" w:rsidRPr="00B369F9">
        <w:rPr>
          <w:rFonts w:ascii="Times New Roman" w:hAnsi="Times New Roman" w:cs="Times New Roman"/>
          <w:sz w:val="24"/>
          <w:szCs w:val="24"/>
        </w:rPr>
        <w:t>у</w:t>
      </w:r>
      <w:r w:rsidRPr="00B369F9">
        <w:rPr>
          <w:rFonts w:ascii="Times New Roman" w:hAnsi="Times New Roman" w:cs="Times New Roman"/>
          <w:sz w:val="24"/>
          <w:szCs w:val="24"/>
        </w:rPr>
        <w:t xml:space="preserve"> в области изменения климата ПАО «Россети» в качестве внутренних документов АО «Чеченэнерго».</w:t>
      </w:r>
    </w:p>
    <w:p w:rsidR="00116471" w:rsidRPr="00B369F9" w:rsidRDefault="00116471" w:rsidP="00116471">
      <w:pPr>
        <w:spacing w:after="0" w:line="240" w:lineRule="auto"/>
        <w:rPr>
          <w:rFonts w:ascii="Times New Roman" w:eastAsia="Calibri" w:hAnsi="Times New Roman" w:cs="Times New Roman"/>
          <w:sz w:val="24"/>
          <w:szCs w:val="24"/>
        </w:rPr>
      </w:pPr>
      <w:r w:rsidRPr="00B369F9">
        <w:rPr>
          <w:rFonts w:ascii="Times New Roman" w:eastAsia="Calibri" w:hAnsi="Times New Roman" w:cs="Times New Roman"/>
          <w:sz w:val="24"/>
          <w:szCs w:val="24"/>
        </w:rPr>
        <w:br w:type="page"/>
      </w:r>
    </w:p>
    <w:p w:rsidR="00116471" w:rsidRPr="00B369F9" w:rsidRDefault="00116471" w:rsidP="00116471">
      <w:pPr>
        <w:spacing w:after="0" w:line="240" w:lineRule="auto"/>
        <w:jc w:val="center"/>
        <w:rPr>
          <w:rFonts w:ascii="Times New Roman" w:eastAsia="Calibri" w:hAnsi="Times New Roman" w:cs="Times New Roman"/>
          <w:sz w:val="24"/>
          <w:szCs w:val="24"/>
        </w:rPr>
        <w:sectPr w:rsidR="00116471" w:rsidRPr="00B369F9" w:rsidSect="00725BD7">
          <w:footnotePr>
            <w:numRestart w:val="eachPage"/>
          </w:footnotePr>
          <w:pgSz w:w="11906" w:h="16838"/>
          <w:pgMar w:top="1134" w:right="851" w:bottom="1134" w:left="1701" w:header="709" w:footer="709" w:gutter="0"/>
          <w:cols w:space="708"/>
          <w:titlePg/>
          <w:docGrid w:linePitch="360"/>
        </w:sectPr>
      </w:pPr>
    </w:p>
    <w:p w:rsidR="005F77E2" w:rsidRPr="00B369F9" w:rsidRDefault="005F77E2" w:rsidP="005F77E2">
      <w:pPr>
        <w:spacing w:after="0" w:line="240" w:lineRule="auto"/>
        <w:jc w:val="center"/>
        <w:rPr>
          <w:rFonts w:ascii="Times New Roman" w:eastAsia="Calibri" w:hAnsi="Times New Roman" w:cs="Times New Roman"/>
          <w:sz w:val="24"/>
          <w:szCs w:val="24"/>
        </w:rPr>
      </w:pPr>
      <w:r w:rsidRPr="00B369F9">
        <w:rPr>
          <w:rFonts w:ascii="Times New Roman" w:eastAsia="Calibri" w:hAnsi="Times New Roman" w:cs="Times New Roman"/>
          <w:sz w:val="24"/>
          <w:szCs w:val="24"/>
        </w:rPr>
        <w:lastRenderedPageBreak/>
        <w:t xml:space="preserve">Участие членов Совета директоров, избранных годовым Общим собранием акционеров 06.06.2023 </w:t>
      </w:r>
    </w:p>
    <w:p w:rsidR="005F77E2" w:rsidRPr="00B369F9" w:rsidRDefault="005F77E2" w:rsidP="005F77E2">
      <w:pPr>
        <w:spacing w:after="0" w:line="240" w:lineRule="auto"/>
        <w:jc w:val="center"/>
        <w:rPr>
          <w:rFonts w:ascii="Times New Roman" w:eastAsia="Calibri" w:hAnsi="Times New Roman" w:cs="Times New Roman"/>
          <w:sz w:val="24"/>
          <w:szCs w:val="24"/>
        </w:rPr>
      </w:pPr>
      <w:r w:rsidRPr="00B369F9">
        <w:rPr>
          <w:rFonts w:ascii="Times New Roman" w:eastAsia="Calibri" w:hAnsi="Times New Roman" w:cs="Times New Roman"/>
          <w:sz w:val="24"/>
          <w:szCs w:val="24"/>
        </w:rPr>
        <w:t>(протокол от 07.06.2023 № 27), в заседаниях в 2023 году</w:t>
      </w:r>
    </w:p>
    <w:p w:rsidR="005F77E2" w:rsidRPr="00B369F9" w:rsidRDefault="005F77E2" w:rsidP="005F77E2">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sz w:val="24"/>
          <w:szCs w:val="24"/>
        </w:rPr>
        <w:t xml:space="preserve"> </w:t>
      </w:r>
    </w:p>
    <w:tbl>
      <w:tblPr>
        <w:tblW w:w="13042" w:type="dxa"/>
        <w:tblInd w:w="-5" w:type="dxa"/>
        <w:tblLayout w:type="fixed"/>
        <w:tblLook w:val="04A0" w:firstRow="1" w:lastRow="0" w:firstColumn="1" w:lastColumn="0" w:noHBand="0" w:noVBand="1"/>
      </w:tblPr>
      <w:tblGrid>
        <w:gridCol w:w="1418"/>
        <w:gridCol w:w="567"/>
        <w:gridCol w:w="567"/>
        <w:gridCol w:w="567"/>
        <w:gridCol w:w="567"/>
        <w:gridCol w:w="567"/>
        <w:gridCol w:w="567"/>
        <w:gridCol w:w="567"/>
        <w:gridCol w:w="567"/>
        <w:gridCol w:w="567"/>
        <w:gridCol w:w="567"/>
        <w:gridCol w:w="567"/>
        <w:gridCol w:w="567"/>
        <w:gridCol w:w="567"/>
        <w:gridCol w:w="567"/>
        <w:gridCol w:w="567"/>
        <w:gridCol w:w="567"/>
        <w:gridCol w:w="567"/>
        <w:gridCol w:w="992"/>
        <w:gridCol w:w="993"/>
      </w:tblGrid>
      <w:tr w:rsidR="005F77E2" w:rsidRPr="00B369F9" w:rsidTr="00CF3717">
        <w:trPr>
          <w:trHeight w:val="300"/>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77E2" w:rsidRPr="00B369F9" w:rsidRDefault="005F77E2"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Ф.И.О.</w:t>
            </w:r>
          </w:p>
        </w:tc>
        <w:tc>
          <w:tcPr>
            <w:tcW w:w="9639" w:type="dxa"/>
            <w:gridSpan w:val="17"/>
            <w:tcBorders>
              <w:top w:val="single" w:sz="4" w:space="0" w:color="auto"/>
              <w:left w:val="nil"/>
              <w:bottom w:val="single" w:sz="4" w:space="0" w:color="auto"/>
              <w:right w:val="single" w:sz="4" w:space="0" w:color="auto"/>
            </w:tcBorders>
            <w:shd w:val="clear" w:color="auto" w:fill="auto"/>
            <w:vAlign w:val="center"/>
            <w:hideMark/>
          </w:tcPr>
          <w:p w:rsidR="005F77E2" w:rsidRPr="00B369F9" w:rsidRDefault="005F77E2"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Дата проведения заседания Совета директоров Общества</w:t>
            </w:r>
          </w:p>
        </w:tc>
        <w:tc>
          <w:tcPr>
            <w:tcW w:w="992" w:type="dxa"/>
            <w:tcBorders>
              <w:top w:val="single" w:sz="4" w:space="0" w:color="auto"/>
              <w:left w:val="single" w:sz="4" w:space="0" w:color="auto"/>
              <w:right w:val="single" w:sz="4" w:space="0" w:color="auto"/>
            </w:tcBorders>
            <w:shd w:val="clear" w:color="auto" w:fill="auto"/>
            <w:vAlign w:val="center"/>
            <w:hideMark/>
          </w:tcPr>
          <w:p w:rsidR="005F77E2" w:rsidRPr="00B369F9" w:rsidRDefault="005F77E2"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Участвовал</w:t>
            </w:r>
          </w:p>
        </w:tc>
        <w:tc>
          <w:tcPr>
            <w:tcW w:w="993" w:type="dxa"/>
            <w:tcBorders>
              <w:top w:val="single" w:sz="4" w:space="0" w:color="auto"/>
              <w:left w:val="single" w:sz="4" w:space="0" w:color="auto"/>
              <w:right w:val="single" w:sz="4" w:space="0" w:color="auto"/>
            </w:tcBorders>
            <w:shd w:val="clear" w:color="auto" w:fill="auto"/>
            <w:vAlign w:val="center"/>
            <w:hideMark/>
          </w:tcPr>
          <w:p w:rsidR="005F77E2" w:rsidRPr="00B369F9" w:rsidRDefault="005F77E2"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Не участвовал</w:t>
            </w:r>
          </w:p>
        </w:tc>
      </w:tr>
      <w:tr w:rsidR="008725C3" w:rsidRPr="00B369F9" w:rsidTr="00CF3717">
        <w:trPr>
          <w:trHeight w:val="300"/>
        </w:trPr>
        <w:tc>
          <w:tcPr>
            <w:tcW w:w="1418" w:type="dxa"/>
            <w:vMerge/>
            <w:tcBorders>
              <w:top w:val="single" w:sz="4" w:space="0" w:color="auto"/>
              <w:left w:val="single" w:sz="4" w:space="0" w:color="auto"/>
              <w:bottom w:val="single" w:sz="4" w:space="0" w:color="auto"/>
              <w:right w:val="single" w:sz="4" w:space="0" w:color="auto"/>
            </w:tcBorders>
            <w:vAlign w:val="center"/>
            <w:hideMark/>
          </w:tcPr>
          <w:p w:rsidR="008725C3" w:rsidRPr="00B369F9" w:rsidRDefault="008725C3" w:rsidP="0019259A">
            <w:pPr>
              <w:spacing w:after="0" w:line="240" w:lineRule="auto"/>
              <w:rPr>
                <w:rFonts w:ascii="Times New Roman" w:eastAsia="Times New Roman" w:hAnsi="Times New Roman" w:cs="Times New Roman"/>
                <w:color w:val="000000"/>
                <w:sz w:val="24"/>
                <w:szCs w:val="24"/>
                <w:lang w:eastAsia="ru-RU"/>
              </w:rPr>
            </w:pP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22.06.2023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28.06.2023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11.07.2023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20.07.2023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09.08.2023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28.08.2023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15.09.2023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25.09.2023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03.10.2023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09.10.2023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17.10.2023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25.10.2023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17.11.2023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08.12.2023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15.12.2023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19.12.2023</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19259A">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22.12.2023</w:t>
            </w:r>
          </w:p>
        </w:tc>
        <w:tc>
          <w:tcPr>
            <w:tcW w:w="992" w:type="dxa"/>
            <w:tcBorders>
              <w:left w:val="single" w:sz="4" w:space="0" w:color="auto"/>
              <w:bottom w:val="single" w:sz="4" w:space="0" w:color="auto"/>
              <w:right w:val="single" w:sz="4" w:space="0" w:color="auto"/>
            </w:tcBorders>
            <w:vAlign w:val="center"/>
            <w:hideMark/>
          </w:tcPr>
          <w:p w:rsidR="008725C3" w:rsidRPr="00B369F9" w:rsidRDefault="008725C3" w:rsidP="0019259A">
            <w:pPr>
              <w:spacing w:after="0" w:line="240" w:lineRule="auto"/>
              <w:rPr>
                <w:rFonts w:ascii="Times New Roman" w:eastAsia="Times New Roman" w:hAnsi="Times New Roman" w:cs="Times New Roman"/>
                <w:color w:val="000000"/>
                <w:sz w:val="24"/>
                <w:szCs w:val="24"/>
                <w:lang w:eastAsia="ru-RU"/>
              </w:rPr>
            </w:pPr>
          </w:p>
        </w:tc>
        <w:tc>
          <w:tcPr>
            <w:tcW w:w="993" w:type="dxa"/>
            <w:tcBorders>
              <w:left w:val="single" w:sz="4" w:space="0" w:color="auto"/>
              <w:bottom w:val="single" w:sz="4" w:space="0" w:color="auto"/>
              <w:right w:val="single" w:sz="4" w:space="0" w:color="auto"/>
            </w:tcBorders>
            <w:vAlign w:val="center"/>
            <w:hideMark/>
          </w:tcPr>
          <w:p w:rsidR="008725C3" w:rsidRPr="00B369F9" w:rsidRDefault="008725C3" w:rsidP="0019259A">
            <w:pPr>
              <w:spacing w:after="0" w:line="240" w:lineRule="auto"/>
              <w:rPr>
                <w:rFonts w:ascii="Times New Roman" w:eastAsia="Times New Roman" w:hAnsi="Times New Roman" w:cs="Times New Roman"/>
                <w:color w:val="000000"/>
                <w:sz w:val="24"/>
                <w:szCs w:val="24"/>
                <w:lang w:eastAsia="ru-RU"/>
              </w:rPr>
            </w:pPr>
          </w:p>
        </w:tc>
      </w:tr>
      <w:tr w:rsidR="008725C3" w:rsidRPr="00B369F9" w:rsidTr="00CF3717">
        <w:trPr>
          <w:trHeight w:val="305"/>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Кадиров И.С.</w:t>
            </w:r>
            <w:r w:rsidR="00CF3717" w:rsidRPr="00B369F9">
              <w:rPr>
                <w:rFonts w:ascii="Times New Roman" w:eastAsia="Times New Roman" w:hAnsi="Times New Roman" w:cs="Times New Roman"/>
                <w:color w:val="000000"/>
                <w:sz w:val="24"/>
                <w:szCs w:val="24"/>
                <w:lang w:eastAsia="ru-RU"/>
              </w:rPr>
              <w:t>, Председатель Совета директоров</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8725C3" w:rsidRPr="00B369F9" w:rsidTr="00CF3717">
        <w:trPr>
          <w:trHeight w:val="281"/>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Боев С.В.</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8725C3" w:rsidRPr="00B369F9" w:rsidTr="00CF3717">
        <w:trPr>
          <w:trHeight w:val="287"/>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Айметов Р.Р.</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8725C3" w:rsidRPr="00B369F9" w:rsidTr="00CF3717">
        <w:trPr>
          <w:trHeight w:val="312"/>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Уколов В.А.</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8725C3" w:rsidRPr="00B369F9" w:rsidTr="00CF3717">
        <w:trPr>
          <w:trHeight w:val="323"/>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Хакимов А.С.</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8725C3" w:rsidRPr="00B369F9" w:rsidTr="00CF3717">
        <w:trPr>
          <w:trHeight w:val="272"/>
        </w:trPr>
        <w:tc>
          <w:tcPr>
            <w:tcW w:w="1418" w:type="dxa"/>
            <w:tcBorders>
              <w:top w:val="nil"/>
              <w:left w:val="single" w:sz="4" w:space="0" w:color="auto"/>
              <w:bottom w:val="single" w:sz="4" w:space="0" w:color="auto"/>
              <w:right w:val="single" w:sz="4" w:space="0" w:color="auto"/>
            </w:tcBorders>
            <w:shd w:val="clear" w:color="auto" w:fill="auto"/>
            <w:hideMark/>
          </w:tcPr>
          <w:p w:rsidR="008725C3" w:rsidRPr="00B369F9" w:rsidRDefault="008725C3" w:rsidP="005F77E2">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Жумаев Л-А.Н.</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16</w:t>
            </w:r>
          </w:p>
        </w:tc>
        <w:tc>
          <w:tcPr>
            <w:tcW w:w="993" w:type="dxa"/>
            <w:tcBorders>
              <w:top w:val="nil"/>
              <w:left w:val="nil"/>
              <w:bottom w:val="single" w:sz="4" w:space="0" w:color="auto"/>
              <w:right w:val="single" w:sz="4" w:space="0" w:color="auto"/>
            </w:tcBorders>
            <w:shd w:val="clear" w:color="auto" w:fill="auto"/>
            <w:vAlign w:val="center"/>
          </w:tcPr>
          <w:p w:rsidR="008725C3" w:rsidRPr="00B369F9" w:rsidRDefault="008725C3" w:rsidP="005F77E2">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w:t>
            </w:r>
          </w:p>
        </w:tc>
      </w:tr>
    </w:tbl>
    <w:p w:rsidR="005F77E2" w:rsidRPr="00B369F9" w:rsidRDefault="005F77E2" w:rsidP="005F77E2">
      <w:pPr>
        <w:spacing w:after="0" w:line="240" w:lineRule="auto"/>
        <w:ind w:firstLine="2552"/>
        <w:jc w:val="both"/>
        <w:rPr>
          <w:rFonts w:ascii="Times New Roman" w:hAnsi="Times New Roman" w:cs="Times New Roman"/>
          <w:sz w:val="24"/>
          <w:szCs w:val="24"/>
        </w:rPr>
      </w:pPr>
      <w:r w:rsidRPr="00B369F9">
        <w:rPr>
          <w:rFonts w:ascii="Times New Roman" w:hAnsi="Times New Roman" w:cs="Times New Roman"/>
          <w:sz w:val="24"/>
          <w:szCs w:val="24"/>
        </w:rPr>
        <w:t>Примечание: + – участие; - – отсутствие</w:t>
      </w:r>
    </w:p>
    <w:p w:rsidR="005F77E2" w:rsidRPr="00B369F9" w:rsidRDefault="005F77E2" w:rsidP="00116471">
      <w:pPr>
        <w:spacing w:after="0" w:line="240" w:lineRule="auto"/>
        <w:jc w:val="center"/>
        <w:rPr>
          <w:rFonts w:ascii="Times New Roman" w:eastAsia="Calibri" w:hAnsi="Times New Roman" w:cs="Times New Roman"/>
          <w:sz w:val="24"/>
          <w:szCs w:val="24"/>
        </w:rPr>
      </w:pPr>
    </w:p>
    <w:p w:rsidR="005F77E2" w:rsidRPr="00B369F9" w:rsidRDefault="005F77E2" w:rsidP="00116471">
      <w:pPr>
        <w:spacing w:after="0" w:line="240" w:lineRule="auto"/>
        <w:jc w:val="center"/>
        <w:rPr>
          <w:rFonts w:ascii="Times New Roman" w:eastAsia="Calibri" w:hAnsi="Times New Roman" w:cs="Times New Roman"/>
          <w:sz w:val="24"/>
          <w:szCs w:val="24"/>
        </w:rPr>
      </w:pPr>
    </w:p>
    <w:p w:rsidR="004D05C9" w:rsidRDefault="004D05C9">
      <w:pPr>
        <w:spacing w:after="160" w:line="259" w:lineRule="auto"/>
        <w:rPr>
          <w:rFonts w:ascii="Times New Roman" w:eastAsia="Calibri" w:hAnsi="Times New Roman" w:cs="Times New Roman"/>
          <w:sz w:val="24"/>
          <w:szCs w:val="24"/>
        </w:rPr>
      </w:pPr>
      <w:r>
        <w:rPr>
          <w:rFonts w:ascii="Times New Roman" w:eastAsia="Calibri" w:hAnsi="Times New Roman" w:cs="Times New Roman"/>
          <w:sz w:val="24"/>
          <w:szCs w:val="24"/>
        </w:rPr>
        <w:br w:type="page"/>
      </w:r>
    </w:p>
    <w:p w:rsidR="00116471" w:rsidRPr="00B369F9" w:rsidRDefault="00116471" w:rsidP="00116471">
      <w:pPr>
        <w:spacing w:after="0" w:line="240" w:lineRule="auto"/>
        <w:jc w:val="center"/>
        <w:rPr>
          <w:rFonts w:ascii="Times New Roman" w:eastAsia="Calibri" w:hAnsi="Times New Roman" w:cs="Times New Roman"/>
          <w:sz w:val="24"/>
          <w:szCs w:val="24"/>
        </w:rPr>
      </w:pPr>
      <w:r w:rsidRPr="00B369F9">
        <w:rPr>
          <w:rFonts w:ascii="Times New Roman" w:eastAsia="Calibri" w:hAnsi="Times New Roman" w:cs="Times New Roman"/>
          <w:sz w:val="24"/>
          <w:szCs w:val="24"/>
        </w:rPr>
        <w:lastRenderedPageBreak/>
        <w:t xml:space="preserve">Участие членов Совета директоров, избранных годовым Общим собранием акционеров 22.06.2022 </w:t>
      </w:r>
    </w:p>
    <w:p w:rsidR="00116471" w:rsidRPr="00B369F9" w:rsidRDefault="00116471" w:rsidP="00116471">
      <w:pPr>
        <w:spacing w:after="0" w:line="240" w:lineRule="auto"/>
        <w:jc w:val="center"/>
        <w:rPr>
          <w:rFonts w:ascii="Times New Roman" w:eastAsia="Calibri" w:hAnsi="Times New Roman" w:cs="Times New Roman"/>
          <w:sz w:val="24"/>
          <w:szCs w:val="24"/>
        </w:rPr>
      </w:pPr>
      <w:r w:rsidRPr="00B369F9">
        <w:rPr>
          <w:rFonts w:ascii="Times New Roman" w:eastAsia="Calibri" w:hAnsi="Times New Roman" w:cs="Times New Roman"/>
          <w:sz w:val="24"/>
          <w:szCs w:val="24"/>
        </w:rPr>
        <w:t>(протокол от 22.06.2022 № 25), в заседаниях в 202</w:t>
      </w:r>
      <w:r w:rsidR="005F77E2"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году</w:t>
      </w:r>
    </w:p>
    <w:p w:rsidR="00116471" w:rsidRPr="00B369F9" w:rsidRDefault="00116471" w:rsidP="00116471">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sz w:val="24"/>
          <w:szCs w:val="24"/>
        </w:rPr>
        <w:t xml:space="preserve"> </w:t>
      </w:r>
    </w:p>
    <w:tbl>
      <w:tblPr>
        <w:tblW w:w="13042" w:type="dxa"/>
        <w:tblInd w:w="-5" w:type="dxa"/>
        <w:tblLayout w:type="fixed"/>
        <w:tblLook w:val="04A0" w:firstRow="1" w:lastRow="0" w:firstColumn="1" w:lastColumn="0" w:noHBand="0" w:noVBand="1"/>
      </w:tblPr>
      <w:tblGrid>
        <w:gridCol w:w="1418"/>
        <w:gridCol w:w="567"/>
        <w:gridCol w:w="567"/>
        <w:gridCol w:w="567"/>
        <w:gridCol w:w="567"/>
        <w:gridCol w:w="567"/>
        <w:gridCol w:w="567"/>
        <w:gridCol w:w="567"/>
        <w:gridCol w:w="567"/>
        <w:gridCol w:w="567"/>
        <w:gridCol w:w="567"/>
        <w:gridCol w:w="567"/>
        <w:gridCol w:w="567"/>
        <w:gridCol w:w="567"/>
        <w:gridCol w:w="567"/>
        <w:gridCol w:w="567"/>
        <w:gridCol w:w="567"/>
        <w:gridCol w:w="567"/>
        <w:gridCol w:w="992"/>
        <w:gridCol w:w="993"/>
      </w:tblGrid>
      <w:tr w:rsidR="00116471" w:rsidRPr="00B369F9" w:rsidTr="00CF3717">
        <w:trPr>
          <w:trHeight w:val="300"/>
        </w:trPr>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16471" w:rsidRPr="00B369F9" w:rsidRDefault="00116471"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Ф.И.О.</w:t>
            </w:r>
          </w:p>
        </w:tc>
        <w:tc>
          <w:tcPr>
            <w:tcW w:w="9639" w:type="dxa"/>
            <w:gridSpan w:val="17"/>
            <w:tcBorders>
              <w:top w:val="single" w:sz="4" w:space="0" w:color="auto"/>
              <w:left w:val="nil"/>
              <w:bottom w:val="single" w:sz="4" w:space="0" w:color="auto"/>
              <w:right w:val="single" w:sz="4" w:space="0" w:color="auto"/>
            </w:tcBorders>
            <w:shd w:val="clear" w:color="auto" w:fill="auto"/>
            <w:vAlign w:val="center"/>
            <w:hideMark/>
          </w:tcPr>
          <w:p w:rsidR="00116471" w:rsidRPr="00B369F9" w:rsidRDefault="00116471"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Дата проведения заседания Совета директоров Общества</w:t>
            </w:r>
          </w:p>
        </w:tc>
        <w:tc>
          <w:tcPr>
            <w:tcW w:w="992" w:type="dxa"/>
            <w:tcBorders>
              <w:top w:val="single" w:sz="4" w:space="0" w:color="auto"/>
              <w:left w:val="single" w:sz="4" w:space="0" w:color="auto"/>
              <w:right w:val="single" w:sz="4" w:space="0" w:color="auto"/>
            </w:tcBorders>
            <w:shd w:val="clear" w:color="auto" w:fill="auto"/>
            <w:vAlign w:val="center"/>
            <w:hideMark/>
          </w:tcPr>
          <w:p w:rsidR="00116471" w:rsidRPr="00B369F9" w:rsidRDefault="00116471"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Участвовал</w:t>
            </w:r>
          </w:p>
        </w:tc>
        <w:tc>
          <w:tcPr>
            <w:tcW w:w="993" w:type="dxa"/>
            <w:tcBorders>
              <w:top w:val="single" w:sz="4" w:space="0" w:color="auto"/>
              <w:left w:val="single" w:sz="4" w:space="0" w:color="auto"/>
              <w:right w:val="single" w:sz="4" w:space="0" w:color="auto"/>
            </w:tcBorders>
            <w:shd w:val="clear" w:color="auto" w:fill="auto"/>
            <w:vAlign w:val="center"/>
            <w:hideMark/>
          </w:tcPr>
          <w:p w:rsidR="00116471" w:rsidRPr="00B369F9" w:rsidRDefault="00116471"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Не участвовал</w:t>
            </w:r>
          </w:p>
        </w:tc>
      </w:tr>
      <w:tr w:rsidR="005D016C" w:rsidRPr="00B369F9" w:rsidTr="00CF3717">
        <w:trPr>
          <w:trHeight w:val="300"/>
        </w:trPr>
        <w:tc>
          <w:tcPr>
            <w:tcW w:w="1418" w:type="dxa"/>
            <w:vMerge/>
            <w:tcBorders>
              <w:top w:val="single" w:sz="4" w:space="0" w:color="auto"/>
              <w:left w:val="single" w:sz="4" w:space="0" w:color="auto"/>
              <w:bottom w:val="single" w:sz="4" w:space="0" w:color="auto"/>
              <w:right w:val="single" w:sz="4" w:space="0" w:color="auto"/>
            </w:tcBorders>
            <w:vAlign w:val="center"/>
            <w:hideMark/>
          </w:tcPr>
          <w:p w:rsidR="005D016C" w:rsidRPr="00B369F9" w:rsidRDefault="005D016C" w:rsidP="00116471">
            <w:pPr>
              <w:spacing w:after="0" w:line="240" w:lineRule="auto"/>
              <w:rPr>
                <w:rFonts w:ascii="Times New Roman" w:eastAsia="Times New Roman" w:hAnsi="Times New Roman" w:cs="Times New Roman"/>
                <w:color w:val="000000"/>
                <w:sz w:val="24"/>
                <w:szCs w:val="24"/>
                <w:lang w:eastAsia="ru-RU"/>
              </w:rPr>
            </w:pP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19.01.2023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23.01.2023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26.01.2023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30.01.2023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09.02.2023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27.02.2023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06.03.2023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17.03.2023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27.03.2023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10.04.2023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21.04.2023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28.04.2023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04.05.2023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10.05.2023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22.05.2023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31.05.2023</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05.06.2023</w:t>
            </w:r>
          </w:p>
        </w:tc>
        <w:tc>
          <w:tcPr>
            <w:tcW w:w="992" w:type="dxa"/>
            <w:tcBorders>
              <w:left w:val="single" w:sz="4" w:space="0" w:color="auto"/>
              <w:bottom w:val="single" w:sz="4" w:space="0" w:color="auto"/>
              <w:right w:val="single" w:sz="4" w:space="0" w:color="auto"/>
            </w:tcBorders>
            <w:vAlign w:val="center"/>
            <w:hideMark/>
          </w:tcPr>
          <w:p w:rsidR="005D016C" w:rsidRPr="00B369F9" w:rsidRDefault="005D016C" w:rsidP="00116471">
            <w:pPr>
              <w:spacing w:after="0" w:line="240" w:lineRule="auto"/>
              <w:rPr>
                <w:rFonts w:ascii="Times New Roman" w:eastAsia="Times New Roman" w:hAnsi="Times New Roman" w:cs="Times New Roman"/>
                <w:color w:val="000000"/>
                <w:sz w:val="24"/>
                <w:szCs w:val="24"/>
                <w:lang w:eastAsia="ru-RU"/>
              </w:rPr>
            </w:pPr>
          </w:p>
        </w:tc>
        <w:tc>
          <w:tcPr>
            <w:tcW w:w="993" w:type="dxa"/>
            <w:tcBorders>
              <w:left w:val="single" w:sz="4" w:space="0" w:color="auto"/>
              <w:bottom w:val="single" w:sz="4" w:space="0" w:color="auto"/>
              <w:right w:val="single" w:sz="4" w:space="0" w:color="auto"/>
            </w:tcBorders>
            <w:vAlign w:val="center"/>
            <w:hideMark/>
          </w:tcPr>
          <w:p w:rsidR="005D016C" w:rsidRPr="00B369F9" w:rsidRDefault="005D016C" w:rsidP="00116471">
            <w:pPr>
              <w:spacing w:after="0" w:line="240" w:lineRule="auto"/>
              <w:rPr>
                <w:rFonts w:ascii="Times New Roman" w:eastAsia="Times New Roman" w:hAnsi="Times New Roman" w:cs="Times New Roman"/>
                <w:color w:val="000000"/>
                <w:sz w:val="24"/>
                <w:szCs w:val="24"/>
                <w:lang w:eastAsia="ru-RU"/>
              </w:rPr>
            </w:pPr>
          </w:p>
        </w:tc>
      </w:tr>
      <w:tr w:rsidR="005D016C" w:rsidRPr="00B369F9" w:rsidTr="00CF3717">
        <w:trPr>
          <w:trHeight w:val="305"/>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Кадиров И.С.</w:t>
            </w:r>
            <w:r w:rsidR="00CF3717" w:rsidRPr="00B369F9">
              <w:rPr>
                <w:rFonts w:ascii="Times New Roman" w:eastAsia="Times New Roman" w:hAnsi="Times New Roman" w:cs="Times New Roman"/>
                <w:color w:val="000000"/>
                <w:sz w:val="24"/>
                <w:szCs w:val="24"/>
                <w:lang w:eastAsia="ru-RU"/>
              </w:rPr>
              <w:t>, Председатель Совета директоров</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5D016C" w:rsidRPr="00B369F9" w:rsidTr="00CF3717">
        <w:trPr>
          <w:trHeight w:val="281"/>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Михеев Д.Д.</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5D016C" w:rsidRPr="00B369F9" w:rsidTr="00CF3717">
        <w:trPr>
          <w:trHeight w:val="287"/>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Боев С.В.</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5D016C" w:rsidRPr="00B369F9" w:rsidTr="00CF3717">
        <w:trPr>
          <w:trHeight w:val="312"/>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Рожков В.В.</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5D016C" w:rsidRPr="00B369F9" w:rsidTr="00CF3717">
        <w:trPr>
          <w:trHeight w:val="323"/>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Амалиев М.Т.</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17</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r>
      <w:tr w:rsidR="005D016C" w:rsidRPr="00B369F9" w:rsidTr="00CF3717">
        <w:trPr>
          <w:trHeight w:val="272"/>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5D016C" w:rsidRPr="00B369F9" w:rsidRDefault="005D016C" w:rsidP="00116471">
            <w:pPr>
              <w:spacing w:after="0" w:line="240" w:lineRule="auto"/>
              <w:jc w:val="both"/>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Хакимов А.С.</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567" w:type="dxa"/>
            <w:tcBorders>
              <w:top w:val="nil"/>
              <w:left w:val="nil"/>
              <w:bottom w:val="single" w:sz="4" w:space="0" w:color="auto"/>
              <w:right w:val="single" w:sz="4" w:space="0" w:color="auto"/>
            </w:tcBorders>
            <w:shd w:val="clear" w:color="auto" w:fill="auto"/>
            <w:vAlign w:val="center"/>
          </w:tcPr>
          <w:p w:rsidR="005D016C" w:rsidRPr="00B369F9" w:rsidRDefault="005D016C"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w:t>
            </w:r>
          </w:p>
        </w:tc>
        <w:tc>
          <w:tcPr>
            <w:tcW w:w="992"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15</w:t>
            </w:r>
          </w:p>
        </w:tc>
        <w:tc>
          <w:tcPr>
            <w:tcW w:w="993" w:type="dxa"/>
            <w:tcBorders>
              <w:top w:val="nil"/>
              <w:left w:val="nil"/>
              <w:bottom w:val="single" w:sz="4" w:space="0" w:color="auto"/>
              <w:right w:val="single" w:sz="4" w:space="0" w:color="auto"/>
            </w:tcBorders>
            <w:shd w:val="clear" w:color="auto" w:fill="auto"/>
            <w:vAlign w:val="center"/>
          </w:tcPr>
          <w:p w:rsidR="005D016C" w:rsidRPr="00B369F9" w:rsidRDefault="00D13705" w:rsidP="00116471">
            <w:pPr>
              <w:spacing w:after="0" w:line="240" w:lineRule="auto"/>
              <w:jc w:val="center"/>
              <w:rPr>
                <w:rFonts w:ascii="Times New Roman" w:eastAsia="Times New Roman" w:hAnsi="Times New Roman" w:cs="Times New Roman"/>
                <w:color w:val="000000"/>
                <w:sz w:val="24"/>
                <w:szCs w:val="24"/>
                <w:lang w:eastAsia="ru-RU"/>
              </w:rPr>
            </w:pPr>
            <w:r w:rsidRPr="00B369F9">
              <w:rPr>
                <w:rFonts w:ascii="Times New Roman" w:eastAsia="Times New Roman" w:hAnsi="Times New Roman" w:cs="Times New Roman"/>
                <w:color w:val="000000"/>
                <w:sz w:val="24"/>
                <w:szCs w:val="24"/>
                <w:lang w:eastAsia="ru-RU"/>
              </w:rPr>
              <w:t>2</w:t>
            </w:r>
          </w:p>
        </w:tc>
      </w:tr>
    </w:tbl>
    <w:p w:rsidR="00116471" w:rsidRPr="00B369F9" w:rsidRDefault="00116471" w:rsidP="00116471">
      <w:pPr>
        <w:spacing w:after="0" w:line="240" w:lineRule="auto"/>
        <w:ind w:firstLine="2552"/>
        <w:jc w:val="both"/>
        <w:rPr>
          <w:rFonts w:ascii="Times New Roman" w:hAnsi="Times New Roman" w:cs="Times New Roman"/>
          <w:sz w:val="24"/>
          <w:szCs w:val="24"/>
        </w:rPr>
      </w:pPr>
      <w:r w:rsidRPr="00B369F9">
        <w:rPr>
          <w:rFonts w:ascii="Times New Roman" w:hAnsi="Times New Roman" w:cs="Times New Roman"/>
          <w:sz w:val="24"/>
          <w:szCs w:val="24"/>
        </w:rPr>
        <w:t>Примечание: + – участие; - – отсутствие</w:t>
      </w:r>
    </w:p>
    <w:p w:rsidR="00116471" w:rsidRPr="00B369F9" w:rsidRDefault="00116471" w:rsidP="00116471">
      <w:pPr>
        <w:spacing w:after="0" w:line="240" w:lineRule="auto"/>
        <w:jc w:val="center"/>
        <w:rPr>
          <w:rFonts w:ascii="Times New Roman" w:eastAsia="Calibri" w:hAnsi="Times New Roman" w:cs="Times New Roman"/>
          <w:sz w:val="24"/>
          <w:szCs w:val="24"/>
        </w:rPr>
      </w:pPr>
    </w:p>
    <w:p w:rsidR="00116471" w:rsidRPr="00B369F9" w:rsidRDefault="00116471" w:rsidP="00116471">
      <w:pPr>
        <w:tabs>
          <w:tab w:val="left" w:pos="993"/>
        </w:tabs>
        <w:spacing w:after="0" w:line="240" w:lineRule="auto"/>
        <w:ind w:right="-142"/>
        <w:contextualSpacing/>
        <w:jc w:val="both"/>
        <w:rPr>
          <w:rFonts w:ascii="Times New Roman" w:hAnsi="Times New Roman" w:cs="Times New Roman"/>
          <w:sz w:val="24"/>
          <w:szCs w:val="24"/>
        </w:rPr>
      </w:pPr>
    </w:p>
    <w:p w:rsidR="00116471" w:rsidRPr="00B369F9" w:rsidRDefault="00116471" w:rsidP="00116471">
      <w:pPr>
        <w:spacing w:after="0" w:line="240" w:lineRule="auto"/>
        <w:rPr>
          <w:rFonts w:ascii="Times New Roman" w:hAnsi="Times New Roman" w:cs="Times New Roman"/>
          <w:b/>
          <w:sz w:val="24"/>
          <w:szCs w:val="24"/>
        </w:rPr>
      </w:pPr>
      <w:r w:rsidRPr="00B369F9">
        <w:rPr>
          <w:rFonts w:ascii="Times New Roman" w:hAnsi="Times New Roman" w:cs="Times New Roman"/>
          <w:b/>
          <w:sz w:val="24"/>
          <w:szCs w:val="24"/>
        </w:rPr>
        <w:br w:type="page"/>
      </w:r>
    </w:p>
    <w:p w:rsidR="00116471" w:rsidRPr="00B369F9" w:rsidRDefault="00116471" w:rsidP="00116471">
      <w:pPr>
        <w:spacing w:after="0" w:line="240" w:lineRule="auto"/>
        <w:ind w:right="-142" w:firstLine="709"/>
        <w:contextualSpacing/>
        <w:jc w:val="both"/>
        <w:rPr>
          <w:rFonts w:ascii="Times New Roman" w:hAnsi="Times New Roman" w:cs="Times New Roman"/>
          <w:b/>
          <w:sz w:val="24"/>
          <w:szCs w:val="24"/>
        </w:rPr>
        <w:sectPr w:rsidR="00116471" w:rsidRPr="00B369F9" w:rsidSect="00413956">
          <w:footnotePr>
            <w:numRestart w:val="eachPage"/>
          </w:footnotePr>
          <w:pgSz w:w="16838" w:h="11906" w:orient="landscape" w:code="9"/>
          <w:pgMar w:top="1701" w:right="1134" w:bottom="851" w:left="1134" w:header="709" w:footer="709" w:gutter="0"/>
          <w:cols w:space="708"/>
          <w:titlePg/>
          <w:docGrid w:linePitch="360"/>
        </w:sectPr>
      </w:pPr>
    </w:p>
    <w:p w:rsidR="00116471" w:rsidRPr="00B369F9" w:rsidRDefault="00116471" w:rsidP="00116471">
      <w:pPr>
        <w:pStyle w:val="1"/>
        <w:ind w:firstLine="709"/>
        <w:rPr>
          <w:b w:val="0"/>
        </w:rPr>
      </w:pPr>
      <w:bookmarkStart w:id="39" w:name="_Toc163738877"/>
      <w:r w:rsidRPr="00B369F9">
        <w:lastRenderedPageBreak/>
        <w:t>Правление</w:t>
      </w:r>
      <w:bookmarkEnd w:id="39"/>
    </w:p>
    <w:p w:rsidR="00116471" w:rsidRPr="00B369F9" w:rsidRDefault="00116471" w:rsidP="00116471">
      <w:pPr>
        <w:spacing w:after="0" w:line="240" w:lineRule="auto"/>
        <w:ind w:right="-142" w:firstLine="709"/>
        <w:contextualSpacing/>
        <w:jc w:val="both"/>
        <w:rPr>
          <w:rFonts w:ascii="Times New Roman" w:hAnsi="Times New Roman" w:cs="Times New Roman"/>
          <w:b/>
          <w:sz w:val="24"/>
          <w:szCs w:val="24"/>
        </w:rPr>
      </w:pPr>
    </w:p>
    <w:p w:rsidR="00116471" w:rsidRPr="00B369F9" w:rsidRDefault="00116471" w:rsidP="00116471">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Компетенция Правления установлена ст. 70 Федерального закона «Об акционерных обществах» и ст. 22 Устава Общества. Сроки, порядок созыва и проведения заседаний, а также принятия решений установлены Положением о Правлении Общества, утвержденным годовым Общим собранием акционеров Общества 19.05.2021 (протокол от 20.05.2021 № 23).</w:t>
      </w:r>
    </w:p>
    <w:p w:rsidR="00116471" w:rsidRPr="00B369F9" w:rsidRDefault="00116471" w:rsidP="00116471">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Количественный состав Правления Общества определяется решением Совета директоров Общества по предложению Генерального директора Общества. Количественный состав Правления не может быть менее трех человек.</w:t>
      </w:r>
    </w:p>
    <w:p w:rsidR="00116471" w:rsidRPr="00B369F9" w:rsidRDefault="00116471" w:rsidP="00116471">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 xml:space="preserve">Избрание членов Правления Общества, включая Генерального директора Общества, и досрочное прекращение их полномочий осуществляется Советом директоров Общества. </w:t>
      </w:r>
    </w:p>
    <w:p w:rsidR="00116471" w:rsidRPr="00B369F9" w:rsidRDefault="00116471" w:rsidP="00116471">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t>По состоянию на конец отчетного периода Правление в Обществе не сформировано.</w:t>
      </w:r>
    </w:p>
    <w:p w:rsidR="00116471" w:rsidRPr="00B369F9" w:rsidRDefault="00116471" w:rsidP="00116471">
      <w:pPr>
        <w:tabs>
          <w:tab w:val="left" w:pos="993"/>
        </w:tabs>
        <w:spacing w:after="0" w:line="240" w:lineRule="auto"/>
        <w:ind w:right="-142"/>
        <w:contextualSpacing/>
        <w:jc w:val="both"/>
        <w:rPr>
          <w:rFonts w:ascii="Times New Roman" w:hAnsi="Times New Roman" w:cs="Times New Roman"/>
          <w:sz w:val="24"/>
          <w:szCs w:val="24"/>
        </w:rPr>
      </w:pPr>
    </w:p>
    <w:p w:rsidR="00837AA4" w:rsidRPr="00B369F9" w:rsidRDefault="00837AA4" w:rsidP="00837AA4">
      <w:pPr>
        <w:pStyle w:val="1"/>
        <w:ind w:firstLine="709"/>
      </w:pPr>
      <w:bookmarkStart w:id="40" w:name="_Toc163738878"/>
      <w:r w:rsidRPr="00B369F9">
        <w:t>Корпоративный секретарь Общества</w:t>
      </w:r>
      <w:bookmarkEnd w:id="40"/>
    </w:p>
    <w:p w:rsidR="00837AA4" w:rsidRPr="00B369F9" w:rsidRDefault="00837AA4" w:rsidP="00116471">
      <w:pPr>
        <w:tabs>
          <w:tab w:val="left" w:pos="993"/>
        </w:tabs>
        <w:spacing w:after="0" w:line="240" w:lineRule="auto"/>
        <w:ind w:right="-142"/>
        <w:contextualSpacing/>
        <w:jc w:val="both"/>
        <w:rPr>
          <w:rFonts w:ascii="Times New Roman" w:hAnsi="Times New Roman" w:cs="Times New Roman"/>
          <w:sz w:val="24"/>
          <w:szCs w:val="24"/>
        </w:rPr>
      </w:pPr>
    </w:p>
    <w:p w:rsidR="0019259A" w:rsidRPr="00B369F9" w:rsidRDefault="00C70906" w:rsidP="0019259A">
      <w:pPr>
        <w:spacing w:after="0" w:line="240" w:lineRule="auto"/>
        <w:ind w:right="-142"/>
        <w:contextualSpacing/>
        <w:jc w:val="both"/>
        <w:rPr>
          <w:rFonts w:ascii="Times New Roman" w:hAnsi="Times New Roman" w:cs="Times New Roman"/>
          <w:sz w:val="24"/>
          <w:szCs w:val="24"/>
        </w:rPr>
      </w:pPr>
      <w:r w:rsidRPr="00B369F9">
        <w:rPr>
          <w:rFonts w:ascii="Times New Roman" w:hAnsi="Times New Roman" w:cs="Times New Roman"/>
          <w:sz w:val="24"/>
          <w:szCs w:val="24"/>
        </w:rPr>
        <w:tab/>
      </w:r>
      <w:r w:rsidR="0019259A" w:rsidRPr="00B369F9">
        <w:rPr>
          <w:rFonts w:ascii="Times New Roman" w:hAnsi="Times New Roman" w:cs="Times New Roman"/>
          <w:sz w:val="24"/>
          <w:szCs w:val="24"/>
        </w:rPr>
        <w:t>В Обществе действует Положение о корпоративном секретаре АО «Чеченэнерго», утвержд</w:t>
      </w:r>
      <w:r w:rsidR="002F145F" w:rsidRPr="00B369F9">
        <w:rPr>
          <w:rFonts w:ascii="Times New Roman" w:hAnsi="Times New Roman" w:cs="Times New Roman"/>
          <w:sz w:val="24"/>
          <w:szCs w:val="24"/>
        </w:rPr>
        <w:t>е</w:t>
      </w:r>
      <w:r w:rsidR="0019259A" w:rsidRPr="00B369F9">
        <w:rPr>
          <w:rFonts w:ascii="Times New Roman" w:hAnsi="Times New Roman" w:cs="Times New Roman"/>
          <w:sz w:val="24"/>
          <w:szCs w:val="24"/>
        </w:rPr>
        <w:t>нное решением Совета директоров 23.11.2016 (протокол от 25.11.2016 № 114). Положение определяет статус Корпоративного секретаря, требования к его кандидатуре, порядок его избрания и прекращения полномочий, его подчиненность и порядок взаимодействия с органами управления и структурными подразделениями Общества, а также иные вопросы деятельности Корпоративного секретаря Общества.</w:t>
      </w:r>
    </w:p>
    <w:p w:rsidR="0019259A" w:rsidRPr="00B369F9" w:rsidRDefault="0019259A" w:rsidP="003D77AC">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К функциям Корпоративного секретаря Общества относятся:</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1) </w:t>
      </w:r>
      <w:r w:rsidR="0019259A" w:rsidRPr="00B369F9">
        <w:rPr>
          <w:rFonts w:ascii="Times New Roman" w:hAnsi="Times New Roman" w:cs="Times New Roman"/>
          <w:sz w:val="24"/>
          <w:szCs w:val="24"/>
        </w:rPr>
        <w:t>участие в обеспечении взаимодействия Общества с органами регулирования, организаторами торговли, регистратором, иными профессиональными участниками рынка ценных бумаг в рамках полномочий, закрепл</w:t>
      </w:r>
      <w:r w:rsidR="002F145F" w:rsidRPr="00B369F9">
        <w:rPr>
          <w:rFonts w:ascii="Times New Roman" w:hAnsi="Times New Roman" w:cs="Times New Roman"/>
          <w:sz w:val="24"/>
          <w:szCs w:val="24"/>
        </w:rPr>
        <w:t>е</w:t>
      </w:r>
      <w:r w:rsidR="0019259A" w:rsidRPr="00B369F9">
        <w:rPr>
          <w:rFonts w:ascii="Times New Roman" w:hAnsi="Times New Roman" w:cs="Times New Roman"/>
          <w:sz w:val="24"/>
          <w:szCs w:val="24"/>
        </w:rPr>
        <w:t>нных договором за Корпоративным секретарем;</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2) </w:t>
      </w:r>
      <w:r w:rsidR="0019259A" w:rsidRPr="00B369F9">
        <w:rPr>
          <w:rFonts w:ascii="Times New Roman" w:hAnsi="Times New Roman" w:cs="Times New Roman"/>
          <w:sz w:val="24"/>
          <w:szCs w:val="24"/>
        </w:rPr>
        <w:t>незамедлительное информирование Совета директоров Общества обо всех выявленных нарушениях законодательства Российской Федерации, а также положений внутренних документов Общества, соблюдение которых относится к функциям Корпоративного секретаря Общества;</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3) </w:t>
      </w:r>
      <w:r w:rsidR="0019259A" w:rsidRPr="00B369F9">
        <w:rPr>
          <w:rFonts w:ascii="Times New Roman" w:hAnsi="Times New Roman" w:cs="Times New Roman"/>
          <w:sz w:val="24"/>
          <w:szCs w:val="24"/>
        </w:rPr>
        <w:t>участие во взаимодействии Общества с его акционерами и в предупреждении корпоративных конфликтов, в реализации установленных законодательством Российской Федерации и внутренними документами Общества процедур, обеспечивающих реализацию прав и законных интересов акционеров, контроль за их исполнением в рамках полномочий, закрепленных договором за Корпоративным секретарем;</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4) </w:t>
      </w:r>
      <w:r w:rsidR="0019259A" w:rsidRPr="00B369F9">
        <w:rPr>
          <w:rFonts w:ascii="Times New Roman" w:hAnsi="Times New Roman" w:cs="Times New Roman"/>
          <w:sz w:val="24"/>
          <w:szCs w:val="24"/>
        </w:rPr>
        <w:t>участие в организации подготовки и проведения Общих собраний акционеров Общества в порядке, установленном внутренними документами Общества;</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5) </w:t>
      </w:r>
      <w:r w:rsidR="0019259A" w:rsidRPr="00B369F9">
        <w:rPr>
          <w:rFonts w:ascii="Times New Roman" w:hAnsi="Times New Roman" w:cs="Times New Roman"/>
          <w:sz w:val="24"/>
          <w:szCs w:val="24"/>
        </w:rPr>
        <w:t>участие в реализации политики Общества по раскрытию информации, а также обеспечение хранения корпоративных документов Общества в рамках полномочий, закрепленных договором за Корпоративным секретарем;</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6) </w:t>
      </w:r>
      <w:r w:rsidR="0019259A" w:rsidRPr="00B369F9">
        <w:rPr>
          <w:rFonts w:ascii="Times New Roman" w:hAnsi="Times New Roman" w:cs="Times New Roman"/>
          <w:sz w:val="24"/>
          <w:szCs w:val="24"/>
        </w:rPr>
        <w:t>участие в совершенствовании системы и практики корпоративного управления Общества путем представления соответствующих предложений в ответственное структурное подразделение Общества;</w:t>
      </w:r>
    </w:p>
    <w:p w:rsidR="0019259A" w:rsidRPr="00B369F9" w:rsidRDefault="004B2EAD" w:rsidP="0019259A">
      <w:pPr>
        <w:spacing w:after="0" w:line="240" w:lineRule="auto"/>
        <w:ind w:right="-142" w:firstLine="709"/>
        <w:contextualSpacing/>
        <w:jc w:val="both"/>
        <w:rPr>
          <w:rFonts w:ascii="Times New Roman" w:hAnsi="Times New Roman" w:cs="Times New Roman"/>
          <w:sz w:val="24"/>
          <w:szCs w:val="24"/>
        </w:rPr>
      </w:pPr>
      <w:r>
        <w:rPr>
          <w:rFonts w:ascii="Times New Roman" w:hAnsi="Times New Roman" w:cs="Times New Roman"/>
          <w:sz w:val="24"/>
          <w:szCs w:val="24"/>
        </w:rPr>
        <w:t xml:space="preserve">7) </w:t>
      </w:r>
      <w:r w:rsidR="0019259A" w:rsidRPr="00B369F9">
        <w:rPr>
          <w:rFonts w:ascii="Times New Roman" w:hAnsi="Times New Roman" w:cs="Times New Roman"/>
          <w:sz w:val="24"/>
          <w:szCs w:val="24"/>
        </w:rPr>
        <w:t>обеспечение текущей деятельности Совета директоров, в том числе:</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xml:space="preserve">- разработка и представление Председателю Совета директоров проекта повестки дня заседаний Совета директоров в соответствии с Планом работы Совета директоров и предложениями, поступившими от членов Совета директоров, Ревизионной комиссии, Аудитора Общества и </w:t>
      </w:r>
      <w:r w:rsidR="004B2EAD">
        <w:rPr>
          <w:rFonts w:ascii="Times New Roman" w:hAnsi="Times New Roman" w:cs="Times New Roman"/>
          <w:sz w:val="24"/>
          <w:szCs w:val="24"/>
        </w:rPr>
        <w:t>Г</w:t>
      </w:r>
      <w:r w:rsidRPr="00B369F9">
        <w:rPr>
          <w:rFonts w:ascii="Times New Roman" w:hAnsi="Times New Roman" w:cs="Times New Roman"/>
          <w:sz w:val="24"/>
          <w:szCs w:val="24"/>
        </w:rPr>
        <w:t>енерального директора;</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обеспечение подготовки и рассылки документов (материалов), необходимых для организации и проведения заседания Совета директоров (уведомление о проведении заседаний, проекты решений по вопросам повестки дня заседания, проекты документов для предварительного ознакомления и др.);</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lastRenderedPageBreak/>
        <w:t>- организационное и техническое обеспечение проведения заседания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организация взаимодействия Совета директоров с исполнительными органами Общества, с Комитетами Совета директоров, Аудитором Общества, Ревизионной комиссией и структурными подразделениями Общества;</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организация подготовки и представления документов (информации) по запросам членов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подготовка запросов, ответов на письма, поступившие в Совет директоров, за подписью и по поручению Председателя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сбор опросных листов, заполненных членами Совета директоров Общества;</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оформление протоколов заседаний Совета директоров и выписок из протоколов заседаний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предоставление и заверение подлинности копий протоколов заседаний Совета директоров и Общих собраний акционеров Общества, а также выписок из них;</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рассылка документов, утвержд</w:t>
      </w:r>
      <w:r w:rsidR="002F145F" w:rsidRPr="00B369F9">
        <w:rPr>
          <w:rFonts w:ascii="Times New Roman" w:hAnsi="Times New Roman" w:cs="Times New Roman"/>
          <w:sz w:val="24"/>
          <w:szCs w:val="24"/>
        </w:rPr>
        <w:t>е</w:t>
      </w:r>
      <w:r w:rsidRPr="00B369F9">
        <w:rPr>
          <w:rFonts w:ascii="Times New Roman" w:hAnsi="Times New Roman" w:cs="Times New Roman"/>
          <w:sz w:val="24"/>
          <w:szCs w:val="24"/>
        </w:rPr>
        <w:t>нных Советом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разработка и ведение номенклатуры дел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организация контроля за ходом выполнения решений Совета директоров и Общего собрания акционеров Общества;</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подготовка запросов о предоставлении информации (материалов) по вопросам повестки дня заседаний Совета директоров в адрес подразделений Общества по поручению членов Совета директоров Общества;</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контроль за достоверностью предоставляемой информации и правильностью оформления документов, выносимых на рассмотрение и утверждение Советом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подготовка по поручению Председателя Совета директоров (заместителя Председателя Совета директоров) проектов отдельных документов и решений Совета директоров, в том числе проекта Плана работы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организация ведения записи хода заседаний Совета директоров, в том числе, с согласия присутствующих членов, на электронные носители;</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систематизация и архивирование документов и материалов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представление по запросу Председателя Совета директоров и/или ответственных структурных подразделений Общества сведений для оценки эффективности работы Совета директоров и отдельных членов Совета директоров;</w:t>
      </w:r>
    </w:p>
    <w:p w:rsidR="0019259A"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 решение иных вопросов и выполнение иных функций, предусмотренных настоящим Положением, Положением о Совете директоров Общества, договором с Корпоративным секретарем Общества, а также в соответствии с поручениями Председателя и членов Совета директоров Общества.</w:t>
      </w:r>
    </w:p>
    <w:p w:rsidR="00837AA4" w:rsidRPr="00B369F9" w:rsidRDefault="0019259A" w:rsidP="0019259A">
      <w:pPr>
        <w:spacing w:after="0" w:line="240" w:lineRule="auto"/>
        <w:ind w:right="-142" w:firstLine="709"/>
        <w:contextualSpacing/>
        <w:jc w:val="both"/>
        <w:rPr>
          <w:rFonts w:ascii="Times New Roman" w:hAnsi="Times New Roman" w:cs="Times New Roman"/>
          <w:sz w:val="24"/>
          <w:szCs w:val="24"/>
        </w:rPr>
      </w:pPr>
      <w:r w:rsidRPr="00B369F9">
        <w:rPr>
          <w:rFonts w:ascii="Times New Roman" w:hAnsi="Times New Roman" w:cs="Times New Roman"/>
          <w:sz w:val="24"/>
          <w:szCs w:val="24"/>
        </w:rPr>
        <w:t>В Обществе избран Корпоративный секретарь, который обеспечивает надлежащее соблюдение порядка подготовки и проведения Общих собраний акционеров и деятельности Совета директоров</w:t>
      </w:r>
      <w:r w:rsidR="004B2EAD" w:rsidRPr="004B2EAD">
        <w:rPr>
          <w:rFonts w:ascii="Times New Roman" w:hAnsi="Times New Roman" w:cs="Times New Roman"/>
          <w:sz w:val="24"/>
          <w:szCs w:val="24"/>
        </w:rPr>
        <w:t xml:space="preserve"> </w:t>
      </w:r>
      <w:r w:rsidR="004B2EAD">
        <w:rPr>
          <w:rFonts w:ascii="Times New Roman" w:hAnsi="Times New Roman" w:cs="Times New Roman"/>
          <w:sz w:val="24"/>
          <w:szCs w:val="24"/>
        </w:rPr>
        <w:t>Общества</w:t>
      </w:r>
      <w:r w:rsidRPr="00B369F9">
        <w:rPr>
          <w:rFonts w:ascii="Times New Roman" w:hAnsi="Times New Roman" w:cs="Times New Roman"/>
          <w:sz w:val="24"/>
          <w:szCs w:val="24"/>
        </w:rPr>
        <w:t xml:space="preserve">. В соответствии с решением Совета директоров от </w:t>
      </w:r>
      <w:r w:rsidR="00C8156F" w:rsidRPr="00B369F9">
        <w:rPr>
          <w:rFonts w:ascii="Times New Roman" w:hAnsi="Times New Roman" w:cs="Times New Roman"/>
          <w:sz w:val="24"/>
          <w:szCs w:val="24"/>
        </w:rPr>
        <w:t>21</w:t>
      </w:r>
      <w:r w:rsidRPr="00B369F9">
        <w:rPr>
          <w:rFonts w:ascii="Times New Roman" w:hAnsi="Times New Roman" w:cs="Times New Roman"/>
          <w:sz w:val="24"/>
          <w:szCs w:val="24"/>
        </w:rPr>
        <w:t>.0</w:t>
      </w:r>
      <w:r w:rsidR="00C8156F" w:rsidRPr="00B369F9">
        <w:rPr>
          <w:rFonts w:ascii="Times New Roman" w:hAnsi="Times New Roman" w:cs="Times New Roman"/>
          <w:sz w:val="24"/>
          <w:szCs w:val="24"/>
        </w:rPr>
        <w:t>3</w:t>
      </w:r>
      <w:r w:rsidRPr="00B369F9">
        <w:rPr>
          <w:rFonts w:ascii="Times New Roman" w:hAnsi="Times New Roman" w:cs="Times New Roman"/>
          <w:sz w:val="24"/>
          <w:szCs w:val="24"/>
        </w:rPr>
        <w:t>.20</w:t>
      </w:r>
      <w:r w:rsidR="00C8156F" w:rsidRPr="00B369F9">
        <w:rPr>
          <w:rFonts w:ascii="Times New Roman" w:hAnsi="Times New Roman" w:cs="Times New Roman"/>
          <w:sz w:val="24"/>
          <w:szCs w:val="24"/>
        </w:rPr>
        <w:t>22</w:t>
      </w:r>
      <w:r w:rsidRPr="00B369F9">
        <w:rPr>
          <w:rFonts w:ascii="Times New Roman" w:hAnsi="Times New Roman" w:cs="Times New Roman"/>
          <w:sz w:val="24"/>
          <w:szCs w:val="24"/>
        </w:rPr>
        <w:t xml:space="preserve"> (протокол от 2</w:t>
      </w:r>
      <w:r w:rsidR="00C8156F" w:rsidRPr="00B369F9">
        <w:rPr>
          <w:rFonts w:ascii="Times New Roman" w:hAnsi="Times New Roman" w:cs="Times New Roman"/>
          <w:sz w:val="24"/>
          <w:szCs w:val="24"/>
        </w:rPr>
        <w:t>2</w:t>
      </w:r>
      <w:r w:rsidRPr="00B369F9">
        <w:rPr>
          <w:rFonts w:ascii="Times New Roman" w:hAnsi="Times New Roman" w:cs="Times New Roman"/>
          <w:sz w:val="24"/>
          <w:szCs w:val="24"/>
        </w:rPr>
        <w:t>.</w:t>
      </w:r>
      <w:r w:rsidR="00C8156F" w:rsidRPr="00B369F9">
        <w:rPr>
          <w:rFonts w:ascii="Times New Roman" w:hAnsi="Times New Roman" w:cs="Times New Roman"/>
          <w:sz w:val="24"/>
          <w:szCs w:val="24"/>
        </w:rPr>
        <w:t>03</w:t>
      </w:r>
      <w:r w:rsidRPr="00B369F9">
        <w:rPr>
          <w:rFonts w:ascii="Times New Roman" w:hAnsi="Times New Roman" w:cs="Times New Roman"/>
          <w:sz w:val="24"/>
          <w:szCs w:val="24"/>
        </w:rPr>
        <w:t>.20</w:t>
      </w:r>
      <w:r w:rsidR="00C8156F" w:rsidRPr="00B369F9">
        <w:rPr>
          <w:rFonts w:ascii="Times New Roman" w:hAnsi="Times New Roman" w:cs="Times New Roman"/>
          <w:sz w:val="24"/>
          <w:szCs w:val="24"/>
        </w:rPr>
        <w:t>22</w:t>
      </w:r>
      <w:r w:rsidRPr="00B369F9">
        <w:rPr>
          <w:rFonts w:ascii="Times New Roman" w:hAnsi="Times New Roman" w:cs="Times New Roman"/>
          <w:sz w:val="24"/>
          <w:szCs w:val="24"/>
        </w:rPr>
        <w:t xml:space="preserve"> № </w:t>
      </w:r>
      <w:r w:rsidR="00C8156F" w:rsidRPr="00B369F9">
        <w:rPr>
          <w:rFonts w:ascii="Times New Roman" w:hAnsi="Times New Roman" w:cs="Times New Roman"/>
          <w:sz w:val="24"/>
          <w:szCs w:val="24"/>
        </w:rPr>
        <w:t>256</w:t>
      </w:r>
      <w:r w:rsidRPr="00B369F9">
        <w:rPr>
          <w:rFonts w:ascii="Times New Roman" w:hAnsi="Times New Roman" w:cs="Times New Roman"/>
          <w:sz w:val="24"/>
          <w:szCs w:val="24"/>
        </w:rPr>
        <w:t xml:space="preserve">) корпоративным секретарем Общества избрана </w:t>
      </w:r>
      <w:r w:rsidR="00C8156F" w:rsidRPr="00B369F9">
        <w:rPr>
          <w:rFonts w:ascii="Times New Roman" w:hAnsi="Times New Roman" w:cs="Times New Roman"/>
          <w:sz w:val="24"/>
          <w:szCs w:val="24"/>
        </w:rPr>
        <w:t>Канцурова Наталья Сергеевна</w:t>
      </w:r>
      <w:r w:rsidRPr="00B369F9">
        <w:rPr>
          <w:rFonts w:ascii="Times New Roman" w:hAnsi="Times New Roman" w:cs="Times New Roman"/>
          <w:sz w:val="24"/>
          <w:szCs w:val="24"/>
        </w:rPr>
        <w:t xml:space="preserve">, главный </w:t>
      </w:r>
      <w:r w:rsidR="00C8156F" w:rsidRPr="00B369F9">
        <w:rPr>
          <w:rFonts w:ascii="Times New Roman" w:hAnsi="Times New Roman" w:cs="Times New Roman"/>
          <w:sz w:val="24"/>
          <w:szCs w:val="24"/>
        </w:rPr>
        <w:t>эксперт</w:t>
      </w:r>
      <w:r w:rsidRPr="00B369F9">
        <w:rPr>
          <w:rFonts w:ascii="Times New Roman" w:hAnsi="Times New Roman" w:cs="Times New Roman"/>
          <w:sz w:val="24"/>
          <w:szCs w:val="24"/>
        </w:rPr>
        <w:t xml:space="preserve"> отдела корпоративного управления Департамента корпоративного управления и взаимодействия с акционерами ПАО «Россети Северный Кавказ».</w:t>
      </w:r>
    </w:p>
    <w:p w:rsidR="00837AA4" w:rsidRPr="00B369F9" w:rsidRDefault="00837AA4" w:rsidP="00116471">
      <w:pPr>
        <w:tabs>
          <w:tab w:val="left" w:pos="993"/>
        </w:tabs>
        <w:spacing w:after="0" w:line="240" w:lineRule="auto"/>
        <w:ind w:right="-142"/>
        <w:contextualSpacing/>
        <w:jc w:val="both"/>
        <w:rPr>
          <w:rFonts w:ascii="Times New Roman" w:hAnsi="Times New Roman" w:cs="Times New Roman"/>
          <w:sz w:val="24"/>
          <w:szCs w:val="24"/>
        </w:rPr>
      </w:pPr>
    </w:p>
    <w:p w:rsidR="00116471" w:rsidRPr="00B369F9" w:rsidRDefault="00116471" w:rsidP="00116471">
      <w:pPr>
        <w:pStyle w:val="1"/>
        <w:ind w:firstLine="709"/>
      </w:pPr>
      <w:bookmarkStart w:id="41" w:name="_Toc100218036"/>
      <w:bookmarkStart w:id="42" w:name="_Toc163738879"/>
      <w:r w:rsidRPr="00B369F9">
        <w:t>Генеральный директор Общества</w:t>
      </w:r>
      <w:bookmarkEnd w:id="41"/>
      <w:bookmarkEnd w:id="42"/>
    </w:p>
    <w:p w:rsidR="00116471" w:rsidRPr="00B369F9" w:rsidRDefault="00116471" w:rsidP="00116471">
      <w:pPr>
        <w:spacing w:after="0" w:line="240" w:lineRule="auto"/>
        <w:rPr>
          <w:sz w:val="24"/>
          <w:szCs w:val="24"/>
          <w:lang w:eastAsia="ru-RU"/>
        </w:rPr>
      </w:pP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Компетенция исполнительного органа установлена ст. 69 Федерального закона «Об акционерных обществах» и ст. 21 Устава Общества, в соответствии с которой руководство текущей деятельностью Общества осуществляется единоличным исполнительным органом – Генеральным директором.</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lastRenderedPageBreak/>
        <w:t>Генеральный директор Общества подотчетен Общему собранию акционеров и Совету директоров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К компетенции Генерального директора Общества относятся все вопросы руководства текущей деятельностью Общества, за исключением вопросов, отнесенных к компетенции Общего собрания акционеров и Совета директоров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 соответствии с решением годового Общего собрания акционеров Общества от 16.06.2009 (Протокол от 19.06.2009 № 1), на основании </w:t>
      </w:r>
      <w:r w:rsidR="00610BEC">
        <w:rPr>
          <w:rFonts w:ascii="Times New Roman" w:eastAsia="Calibri" w:hAnsi="Times New Roman" w:cs="Times New Roman"/>
          <w:sz w:val="24"/>
          <w:szCs w:val="24"/>
        </w:rPr>
        <w:t>д</w:t>
      </w:r>
      <w:r w:rsidRPr="00B369F9">
        <w:rPr>
          <w:rFonts w:ascii="Times New Roman" w:eastAsia="Calibri" w:hAnsi="Times New Roman" w:cs="Times New Roman"/>
          <w:sz w:val="24"/>
          <w:szCs w:val="24"/>
        </w:rPr>
        <w:t>оговора от 03.08.2009 № 326/2009 полномочия единоличного исполнительного органа (Генерального директора) Общества были переданы управляющей организации – ПАО «Россети Северный Кавказ». Место нахождения ПАО «Россети Северный Кавказ» – Российская Федерация, г. Пятигорск.</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Решением Совета директоров ПАО «Россети Северный Кавказ» от 02.04.2021 (протокол от 05.04.2021 № 457) с 06.04.2021 и до даты принятия Советом директоров ПАО «Россети Северный Кавказ» решения об избрании единоличного исполнительного органа исполняющим обязанности Генерального директора ПАО «Россети Северный Кавказ» назначен заместитель Генерального директора по взаимодействию с субъектами рынка электроэнергии ПАО «Россети Северный Кавказ» Левченко Роман Алексеевич.</w:t>
      </w:r>
    </w:p>
    <w:p w:rsidR="004941D3" w:rsidRPr="00B369F9" w:rsidRDefault="004941D3"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Решением Совета директоров ПАО «Россети Северный Кавказ» от 18.02.2022 (протокол от 18.02.2022 № 486) Левченко Роман Алексеевич, с апреля 2021 года исполнявший обязанности Генерального директора ПАО «Россети Северный Кавказ», избран Генеральным директором ПАО «Россети Северный Кавказ» с 18.02.2022 по 17.02.2025 включительно.</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w:t>
      </w:r>
      <w:r w:rsidR="004941D3"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году ПАО «Россети Северный Кавказ» не владело акциями Общества, а также не совершало сделок по приобретению и (или) отчуждению акций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r w:rsidRPr="009E4824">
        <w:rPr>
          <w:rFonts w:ascii="Times New Roman" w:eastAsia="Calibri" w:hAnsi="Times New Roman" w:cs="Times New Roman"/>
          <w:sz w:val="24"/>
          <w:szCs w:val="24"/>
        </w:rPr>
        <w:t>В 202</w:t>
      </w:r>
      <w:r w:rsidR="004941D3" w:rsidRPr="009E4824">
        <w:rPr>
          <w:rFonts w:ascii="Times New Roman" w:eastAsia="Calibri" w:hAnsi="Times New Roman" w:cs="Times New Roman"/>
          <w:sz w:val="24"/>
          <w:szCs w:val="24"/>
        </w:rPr>
        <w:t>3</w:t>
      </w:r>
      <w:r w:rsidRPr="009E4824">
        <w:rPr>
          <w:rFonts w:ascii="Times New Roman" w:eastAsia="Calibri" w:hAnsi="Times New Roman" w:cs="Times New Roman"/>
          <w:sz w:val="24"/>
          <w:szCs w:val="24"/>
        </w:rPr>
        <w:t xml:space="preserve"> году Общество не выдавало займы единоличному исполнительному органу Общества.</w:t>
      </w:r>
    </w:p>
    <w:p w:rsidR="00116471" w:rsidRPr="00B369F9" w:rsidRDefault="00116471" w:rsidP="00116471">
      <w:pPr>
        <w:spacing w:after="0" w:line="240" w:lineRule="auto"/>
        <w:ind w:firstLine="709"/>
        <w:jc w:val="both"/>
        <w:rPr>
          <w:rFonts w:ascii="Times New Roman" w:eastAsia="Calibri" w:hAnsi="Times New Roman" w:cs="Times New Roman"/>
          <w:sz w:val="24"/>
          <w:szCs w:val="24"/>
        </w:rPr>
      </w:pPr>
    </w:p>
    <w:p w:rsidR="00116471" w:rsidRPr="00B369F9" w:rsidRDefault="00116471" w:rsidP="00116471">
      <w:pPr>
        <w:pStyle w:val="1"/>
        <w:ind w:firstLine="709"/>
      </w:pPr>
      <w:bookmarkStart w:id="43" w:name="_Toc100218037"/>
      <w:bookmarkStart w:id="44" w:name="_Toc163738880"/>
      <w:r w:rsidRPr="00B369F9">
        <w:t>Система вознаграждения органов управления Компании</w:t>
      </w:r>
      <w:bookmarkEnd w:id="43"/>
      <w:bookmarkEnd w:id="44"/>
    </w:p>
    <w:p w:rsidR="00116471" w:rsidRPr="00B369F9" w:rsidRDefault="00116471" w:rsidP="00116471">
      <w:pPr>
        <w:pStyle w:val="af8"/>
        <w:tabs>
          <w:tab w:val="left" w:pos="993"/>
        </w:tabs>
        <w:ind w:left="709" w:right="-143"/>
        <w:contextualSpacing/>
        <w:jc w:val="both"/>
        <w:rPr>
          <w:rFonts w:ascii="Times New Roman" w:hAnsi="Times New Roman" w:cs="Times New Roman"/>
          <w:sz w:val="24"/>
          <w:szCs w:val="24"/>
        </w:rPr>
      </w:pPr>
    </w:p>
    <w:p w:rsidR="00116471" w:rsidRPr="00B369F9" w:rsidRDefault="00116471" w:rsidP="00116471">
      <w:pPr>
        <w:pStyle w:val="af8"/>
        <w:tabs>
          <w:tab w:val="left" w:pos="993"/>
        </w:tabs>
        <w:ind w:left="709" w:right="-143"/>
        <w:contextualSpacing/>
        <w:jc w:val="both"/>
        <w:outlineLvl w:val="0"/>
        <w:rPr>
          <w:rFonts w:ascii="Times New Roman" w:hAnsi="Times New Roman" w:cs="Times New Roman"/>
          <w:b/>
          <w:sz w:val="24"/>
          <w:szCs w:val="24"/>
        </w:rPr>
      </w:pPr>
      <w:bookmarkStart w:id="45" w:name="_Toc163738881"/>
      <w:r w:rsidRPr="00B369F9">
        <w:rPr>
          <w:rFonts w:ascii="Times New Roman" w:hAnsi="Times New Roman" w:cs="Times New Roman"/>
          <w:b/>
          <w:sz w:val="24"/>
          <w:szCs w:val="24"/>
        </w:rPr>
        <w:t>Вознаграждение членов Совета директоров</w:t>
      </w:r>
      <w:bookmarkEnd w:id="45"/>
    </w:p>
    <w:p w:rsidR="00116471" w:rsidRPr="00B369F9" w:rsidRDefault="00116471" w:rsidP="00116471">
      <w:pPr>
        <w:pStyle w:val="af8"/>
        <w:tabs>
          <w:tab w:val="left" w:pos="993"/>
        </w:tabs>
        <w:ind w:left="709" w:right="-143"/>
        <w:contextualSpacing/>
        <w:jc w:val="both"/>
        <w:rPr>
          <w:rFonts w:ascii="Times New Roman" w:hAnsi="Times New Roman" w:cs="Times New Roman"/>
          <w:b/>
          <w:sz w:val="24"/>
          <w:szCs w:val="24"/>
        </w:rPr>
      </w:pP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отчетном году действовало Положение о выплате членам Совета директоров Общества вознаграждений и компенсаций, утвержденное решением годового Общего собрания акционеров Общества 21.06.2019 (протокол от 24.06.2019 № 19).</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Текст Положения доступен на корпоративном сайте Общества в разделе «Акционерам и инвесторам / Устав и внутренние документы / Документы процедур корпоративного управления» (ссылка – </w:t>
      </w:r>
      <w:hyperlink r:id="rId37" w:history="1">
        <w:r w:rsidRPr="00B369F9">
          <w:rPr>
            <w:rStyle w:val="af4"/>
            <w:rFonts w:ascii="Times New Roman" w:eastAsia="Calibri" w:hAnsi="Times New Roman" w:cs="Times New Roman"/>
            <w:sz w:val="24"/>
            <w:szCs w:val="24"/>
          </w:rPr>
          <w:t>http://chechenergo.ru/index.php/aktsioneram-i-investoram/ustav-i-vnutrennie-dokumenty/dokumenty-protsedur-korporativnogo-upravleniya</w:t>
        </w:r>
      </w:hyperlink>
      <w:r w:rsidRPr="00B369F9">
        <w:rPr>
          <w:rFonts w:ascii="Times New Roman" w:eastAsia="Calibri" w:hAnsi="Times New Roman" w:cs="Times New Roman"/>
          <w:sz w:val="24"/>
          <w:szCs w:val="24"/>
        </w:rPr>
        <w:t>).</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Выплата вознаграждений членам Совета директоров Общества производится за период с даты избрания кандидата в члены Совета директоров Общества до даты прекращения полномочий члена Совета директоров. </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highlight w:val="yellow"/>
        </w:rPr>
      </w:pPr>
      <w:r w:rsidRPr="00B369F9">
        <w:rPr>
          <w:rFonts w:ascii="Times New Roman" w:eastAsia="Calibri" w:hAnsi="Times New Roman" w:cs="Times New Roman"/>
          <w:sz w:val="24"/>
          <w:szCs w:val="24"/>
        </w:rPr>
        <w:t>Вознаграждение членам Совета директоров Общества выплачивается ежеквартально.</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Размер ежеквартального вознаграждения за участие в Совете директоров Общества каждого члена Совета директоров Общества рассчитывается с учетом общего количества заседаний Совета директоров Общества за отчетный квартал и количества заседаний, в которых член Совета директоров принимал участие.</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Вознаграждение не выплачивается, если член Совета директоров Общества не принимал участие более чем в 50 % состоявшихся в отчетном квартале заседаний.</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Дополнительные надбавки к вознаграждению:</w:t>
      </w:r>
    </w:p>
    <w:p w:rsidR="00116471" w:rsidRPr="00B369F9" w:rsidRDefault="00116471" w:rsidP="00116471">
      <w:pPr>
        <w:tabs>
          <w:tab w:val="left" w:pos="993"/>
        </w:tabs>
        <w:spacing w:after="0" w:line="240" w:lineRule="auto"/>
        <w:ind w:right="-142"/>
        <w:contextualSpacing/>
        <w:jc w:val="both"/>
        <w:rPr>
          <w:rFonts w:ascii="Times New Roman" w:hAnsi="Times New Roman" w:cs="Times New Roman"/>
          <w:sz w:val="24"/>
          <w:szCs w:val="24"/>
        </w:rPr>
      </w:pPr>
      <w:r w:rsidRPr="00B369F9">
        <w:rPr>
          <w:rFonts w:ascii="Times New Roman" w:eastAsia="Calibri" w:hAnsi="Times New Roman" w:cs="Times New Roman"/>
          <w:sz w:val="24"/>
          <w:szCs w:val="24"/>
        </w:rPr>
        <w:t>- 30 % от S(1) - Председателю Совета директоров Общества.</w:t>
      </w:r>
    </w:p>
    <w:p w:rsidR="00F86DFD" w:rsidRDefault="00F86DFD" w:rsidP="00116471">
      <w:pPr>
        <w:tabs>
          <w:tab w:val="left" w:pos="993"/>
        </w:tabs>
        <w:spacing w:after="0" w:line="240" w:lineRule="auto"/>
        <w:ind w:right="-142"/>
        <w:contextualSpacing/>
        <w:jc w:val="center"/>
        <w:rPr>
          <w:rFonts w:ascii="Times New Roman" w:hAnsi="Times New Roman" w:cs="Times New Roman"/>
          <w:b/>
          <w:bCs/>
          <w:sz w:val="24"/>
          <w:szCs w:val="24"/>
        </w:rPr>
      </w:pPr>
    </w:p>
    <w:p w:rsidR="00116471" w:rsidRPr="00B369F9" w:rsidRDefault="00116471" w:rsidP="00116471">
      <w:pPr>
        <w:tabs>
          <w:tab w:val="left" w:pos="993"/>
        </w:tabs>
        <w:spacing w:after="0" w:line="240" w:lineRule="auto"/>
        <w:ind w:right="-142"/>
        <w:contextualSpacing/>
        <w:jc w:val="center"/>
        <w:rPr>
          <w:rFonts w:ascii="Times New Roman" w:hAnsi="Times New Roman" w:cs="Times New Roman"/>
          <w:b/>
          <w:bCs/>
          <w:sz w:val="24"/>
          <w:szCs w:val="24"/>
        </w:rPr>
      </w:pPr>
      <w:r w:rsidRPr="00B369F9">
        <w:rPr>
          <w:rFonts w:ascii="Times New Roman" w:hAnsi="Times New Roman" w:cs="Times New Roman"/>
          <w:b/>
          <w:bCs/>
          <w:sz w:val="24"/>
          <w:szCs w:val="24"/>
        </w:rPr>
        <w:lastRenderedPageBreak/>
        <w:t xml:space="preserve">Размер вознаграждения, выплаченного членам </w:t>
      </w:r>
    </w:p>
    <w:p w:rsidR="00116471" w:rsidRPr="00B369F9" w:rsidRDefault="00116471" w:rsidP="00116471">
      <w:pPr>
        <w:tabs>
          <w:tab w:val="left" w:pos="993"/>
        </w:tabs>
        <w:spacing w:after="0" w:line="240" w:lineRule="auto"/>
        <w:ind w:right="-142"/>
        <w:contextualSpacing/>
        <w:jc w:val="center"/>
        <w:rPr>
          <w:rFonts w:ascii="Times New Roman" w:hAnsi="Times New Roman" w:cs="Times New Roman"/>
          <w:b/>
          <w:bCs/>
          <w:sz w:val="24"/>
          <w:szCs w:val="24"/>
        </w:rPr>
      </w:pPr>
      <w:r w:rsidRPr="00B369F9">
        <w:rPr>
          <w:rFonts w:ascii="Times New Roman" w:hAnsi="Times New Roman" w:cs="Times New Roman"/>
          <w:b/>
          <w:bCs/>
          <w:sz w:val="24"/>
          <w:szCs w:val="24"/>
        </w:rPr>
        <w:t>Совета директоров Общества в 202</w:t>
      </w:r>
      <w:r w:rsidR="00857EAD" w:rsidRPr="00B369F9">
        <w:rPr>
          <w:rFonts w:ascii="Times New Roman" w:hAnsi="Times New Roman" w:cs="Times New Roman"/>
          <w:b/>
          <w:bCs/>
          <w:sz w:val="24"/>
          <w:szCs w:val="24"/>
        </w:rPr>
        <w:t>3</w:t>
      </w:r>
      <w:r w:rsidRPr="00B369F9">
        <w:rPr>
          <w:rFonts w:ascii="Times New Roman" w:hAnsi="Times New Roman" w:cs="Times New Roman"/>
          <w:b/>
          <w:bCs/>
          <w:sz w:val="24"/>
          <w:szCs w:val="24"/>
        </w:rPr>
        <w:t xml:space="preserve">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116471" w:rsidRPr="00957857" w:rsidTr="00116471">
        <w:trPr>
          <w:jc w:val="center"/>
        </w:trPr>
        <w:tc>
          <w:tcPr>
            <w:tcW w:w="6492" w:type="dxa"/>
            <w:tcMar>
              <w:top w:w="0" w:type="dxa"/>
              <w:left w:w="72" w:type="dxa"/>
              <w:bottom w:w="0" w:type="dxa"/>
              <w:right w:w="72" w:type="dxa"/>
            </w:tcMar>
            <w:hideMark/>
          </w:tcPr>
          <w:p w:rsidR="00116471" w:rsidRPr="00957857" w:rsidRDefault="00116471" w:rsidP="00116471">
            <w:pPr>
              <w:tabs>
                <w:tab w:val="left" w:pos="993"/>
              </w:tabs>
              <w:spacing w:after="0" w:line="240" w:lineRule="auto"/>
              <w:ind w:right="-142"/>
              <w:contextualSpacing/>
              <w:jc w:val="both"/>
              <w:rPr>
                <w:rFonts w:ascii="Times New Roman" w:hAnsi="Times New Roman" w:cs="Times New Roman"/>
                <w:b/>
                <w:bCs/>
                <w:sz w:val="20"/>
                <w:szCs w:val="20"/>
              </w:rPr>
            </w:pPr>
            <w:r w:rsidRPr="00957857">
              <w:rPr>
                <w:rFonts w:ascii="Times New Roman" w:hAnsi="Times New Roman" w:cs="Times New Roman"/>
                <w:b/>
                <w:bCs/>
                <w:sz w:val="20"/>
                <w:szCs w:val="20"/>
              </w:rPr>
              <w:t>Наименование показателя</w:t>
            </w:r>
          </w:p>
        </w:tc>
        <w:tc>
          <w:tcPr>
            <w:tcW w:w="1360" w:type="dxa"/>
            <w:shd w:val="clear" w:color="auto" w:fill="auto"/>
            <w:tcMar>
              <w:top w:w="0" w:type="dxa"/>
              <w:left w:w="72" w:type="dxa"/>
              <w:bottom w:w="0" w:type="dxa"/>
              <w:right w:w="72" w:type="dxa"/>
            </w:tcMar>
            <w:hideMark/>
          </w:tcPr>
          <w:p w:rsidR="00116471" w:rsidRPr="00957857" w:rsidRDefault="00116471" w:rsidP="00857EAD">
            <w:pPr>
              <w:tabs>
                <w:tab w:val="left" w:pos="993"/>
              </w:tabs>
              <w:spacing w:after="0" w:line="240" w:lineRule="auto"/>
              <w:ind w:right="-142"/>
              <w:contextualSpacing/>
              <w:jc w:val="both"/>
              <w:rPr>
                <w:rFonts w:ascii="Times New Roman" w:hAnsi="Times New Roman" w:cs="Times New Roman"/>
                <w:b/>
                <w:bCs/>
                <w:sz w:val="20"/>
                <w:szCs w:val="20"/>
              </w:rPr>
            </w:pPr>
            <w:r w:rsidRPr="00957857">
              <w:rPr>
                <w:rFonts w:ascii="Times New Roman" w:hAnsi="Times New Roman" w:cs="Times New Roman"/>
                <w:b/>
                <w:bCs/>
                <w:sz w:val="20"/>
                <w:szCs w:val="20"/>
              </w:rPr>
              <w:t>202</w:t>
            </w:r>
            <w:r w:rsidR="00857EAD" w:rsidRPr="00957857">
              <w:rPr>
                <w:rFonts w:ascii="Times New Roman" w:hAnsi="Times New Roman" w:cs="Times New Roman"/>
                <w:b/>
                <w:bCs/>
                <w:sz w:val="20"/>
                <w:szCs w:val="20"/>
              </w:rPr>
              <w:t>3</w:t>
            </w:r>
            <w:r w:rsidRPr="00957857">
              <w:rPr>
                <w:rFonts w:ascii="Times New Roman" w:hAnsi="Times New Roman" w:cs="Times New Roman"/>
                <w:b/>
                <w:bCs/>
                <w:sz w:val="20"/>
                <w:szCs w:val="20"/>
              </w:rPr>
              <w:t xml:space="preserve"> год</w:t>
            </w: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Вознаграждение за участие в работе органа управления</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r w:rsidRPr="00957857">
              <w:rPr>
                <w:rFonts w:ascii="Times New Roman" w:hAnsi="Times New Roman"/>
                <w:sz w:val="20"/>
                <w:szCs w:val="20"/>
              </w:rPr>
              <w:t>2 801</w:t>
            </w: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Заработная плата</w:t>
            </w:r>
            <w:r w:rsidR="00610BEC" w:rsidRPr="00957857">
              <w:rPr>
                <w:rFonts w:ascii="Times New Roman" w:hAnsi="Times New Roman" w:cs="Times New Roman"/>
                <w:sz w:val="20"/>
                <w:szCs w:val="20"/>
              </w:rPr>
              <w:t>*</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r w:rsidRPr="00957857">
              <w:rPr>
                <w:rFonts w:ascii="Times New Roman" w:hAnsi="Times New Roman"/>
                <w:sz w:val="20"/>
                <w:szCs w:val="20"/>
              </w:rPr>
              <w:t>4 454</w:t>
            </w: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Премии</w:t>
            </w:r>
            <w:r w:rsidR="00610BEC" w:rsidRPr="00957857">
              <w:rPr>
                <w:rFonts w:ascii="Times New Roman" w:hAnsi="Times New Roman" w:cs="Times New Roman"/>
                <w:sz w:val="20"/>
                <w:szCs w:val="20"/>
              </w:rPr>
              <w:t>*</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r w:rsidRPr="00957857">
              <w:rPr>
                <w:rFonts w:ascii="Times New Roman" w:hAnsi="Times New Roman"/>
                <w:sz w:val="20"/>
                <w:szCs w:val="20"/>
              </w:rPr>
              <w:t>1 752</w:t>
            </w: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Комиссионные</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Льготы</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Иные виды вознаграждений</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p>
        </w:tc>
      </w:tr>
      <w:tr w:rsidR="00806F98" w:rsidRPr="00957857" w:rsidTr="009E4824">
        <w:trPr>
          <w:jc w:val="center"/>
        </w:trPr>
        <w:tc>
          <w:tcPr>
            <w:tcW w:w="6492" w:type="dxa"/>
            <w:tcMar>
              <w:top w:w="0" w:type="dxa"/>
              <w:left w:w="72" w:type="dxa"/>
              <w:bottom w:w="0" w:type="dxa"/>
              <w:right w:w="72" w:type="dxa"/>
            </w:tcMar>
            <w:hideMark/>
          </w:tcPr>
          <w:p w:rsidR="00806F98" w:rsidRPr="00957857" w:rsidRDefault="00806F98" w:rsidP="00806F98">
            <w:pPr>
              <w:tabs>
                <w:tab w:val="left" w:pos="993"/>
              </w:tabs>
              <w:spacing w:after="0" w:line="240" w:lineRule="auto"/>
              <w:ind w:right="-142"/>
              <w:contextualSpacing/>
              <w:jc w:val="both"/>
              <w:rPr>
                <w:rFonts w:ascii="Times New Roman" w:hAnsi="Times New Roman" w:cs="Times New Roman"/>
                <w:b/>
                <w:bCs/>
                <w:sz w:val="20"/>
                <w:szCs w:val="20"/>
              </w:rPr>
            </w:pPr>
            <w:r w:rsidRPr="00957857">
              <w:rPr>
                <w:rFonts w:ascii="Times New Roman" w:hAnsi="Times New Roman" w:cs="Times New Roman"/>
                <w:b/>
                <w:bCs/>
                <w:sz w:val="20"/>
                <w:szCs w:val="20"/>
              </w:rPr>
              <w:t>ИТОГО</w:t>
            </w:r>
          </w:p>
        </w:tc>
        <w:tc>
          <w:tcPr>
            <w:tcW w:w="1360" w:type="dxa"/>
            <w:shd w:val="clear" w:color="auto" w:fill="auto"/>
            <w:tcMar>
              <w:top w:w="0" w:type="dxa"/>
              <w:left w:w="72" w:type="dxa"/>
              <w:bottom w:w="0" w:type="dxa"/>
              <w:right w:w="72" w:type="dxa"/>
            </w:tcMar>
          </w:tcPr>
          <w:p w:rsidR="00806F98" w:rsidRPr="00957857" w:rsidRDefault="00806F98" w:rsidP="00806F98">
            <w:pPr>
              <w:spacing w:after="0" w:line="240" w:lineRule="auto"/>
              <w:rPr>
                <w:rFonts w:ascii="Times New Roman" w:hAnsi="Times New Roman" w:cs="Times New Roman"/>
                <w:sz w:val="20"/>
                <w:szCs w:val="20"/>
              </w:rPr>
            </w:pPr>
            <w:r w:rsidRPr="00957857">
              <w:rPr>
                <w:rFonts w:ascii="Times New Roman" w:hAnsi="Times New Roman"/>
                <w:sz w:val="20"/>
                <w:szCs w:val="20"/>
              </w:rPr>
              <w:t>9 007</w:t>
            </w:r>
          </w:p>
        </w:tc>
      </w:tr>
    </w:tbl>
    <w:p w:rsidR="00116471" w:rsidRPr="00610BEC" w:rsidRDefault="00116471" w:rsidP="00116471">
      <w:pPr>
        <w:spacing w:after="0" w:line="240" w:lineRule="auto"/>
        <w:ind w:right="-142"/>
        <w:contextualSpacing/>
        <w:jc w:val="both"/>
        <w:rPr>
          <w:rFonts w:ascii="Times New Roman" w:hAnsi="Times New Roman" w:cs="Times New Roman"/>
          <w:bCs/>
          <w:sz w:val="24"/>
          <w:szCs w:val="24"/>
        </w:rPr>
      </w:pPr>
      <w:r w:rsidRPr="00610BEC">
        <w:rPr>
          <w:rFonts w:ascii="Times New Roman" w:hAnsi="Times New Roman" w:cs="Times New Roman"/>
          <w:bCs/>
          <w:sz w:val="24"/>
          <w:szCs w:val="24"/>
        </w:rPr>
        <w:tab/>
        <w:t>*Вознаграждения, выплаченные членам Совета директоров Общества, являющих</w:t>
      </w:r>
      <w:r w:rsidR="00D71B20">
        <w:rPr>
          <w:rFonts w:ascii="Times New Roman" w:hAnsi="Times New Roman" w:cs="Times New Roman"/>
          <w:bCs/>
          <w:sz w:val="24"/>
          <w:szCs w:val="24"/>
        </w:rPr>
        <w:t>ся (являвшихся) его работниками.</w:t>
      </w:r>
    </w:p>
    <w:p w:rsidR="00116471" w:rsidRPr="00B369F9" w:rsidRDefault="00116471" w:rsidP="00116471">
      <w:pPr>
        <w:tabs>
          <w:tab w:val="left" w:pos="993"/>
        </w:tabs>
        <w:spacing w:after="0" w:line="240" w:lineRule="auto"/>
        <w:ind w:right="-142"/>
        <w:contextualSpacing/>
        <w:jc w:val="both"/>
        <w:rPr>
          <w:rFonts w:ascii="Times New Roman" w:hAnsi="Times New Roman" w:cs="Times New Roman"/>
          <w:b/>
          <w:bCs/>
          <w:sz w:val="24"/>
          <w:szCs w:val="24"/>
        </w:rPr>
      </w:pPr>
    </w:p>
    <w:p w:rsidR="00116471" w:rsidRPr="00B369F9" w:rsidRDefault="00116471" w:rsidP="00116471">
      <w:pPr>
        <w:tabs>
          <w:tab w:val="left" w:pos="993"/>
        </w:tabs>
        <w:spacing w:after="0" w:line="240" w:lineRule="auto"/>
        <w:ind w:right="-142"/>
        <w:contextualSpacing/>
        <w:jc w:val="center"/>
        <w:rPr>
          <w:rFonts w:ascii="Times New Roman" w:hAnsi="Times New Roman" w:cs="Times New Roman"/>
          <w:b/>
          <w:bCs/>
          <w:sz w:val="24"/>
          <w:szCs w:val="24"/>
        </w:rPr>
      </w:pPr>
      <w:r w:rsidRPr="00B369F9">
        <w:rPr>
          <w:rFonts w:ascii="Times New Roman" w:hAnsi="Times New Roman" w:cs="Times New Roman"/>
          <w:b/>
          <w:bCs/>
          <w:sz w:val="24"/>
          <w:szCs w:val="24"/>
        </w:rPr>
        <w:t xml:space="preserve">Размер компенсации расходов членам </w:t>
      </w:r>
    </w:p>
    <w:p w:rsidR="00116471" w:rsidRPr="00B369F9" w:rsidRDefault="00116471" w:rsidP="00116471">
      <w:pPr>
        <w:tabs>
          <w:tab w:val="left" w:pos="993"/>
        </w:tabs>
        <w:spacing w:after="0" w:line="240" w:lineRule="auto"/>
        <w:ind w:right="-142"/>
        <w:contextualSpacing/>
        <w:jc w:val="center"/>
        <w:rPr>
          <w:rFonts w:ascii="Times New Roman" w:hAnsi="Times New Roman" w:cs="Times New Roman"/>
          <w:b/>
          <w:bCs/>
          <w:sz w:val="24"/>
          <w:szCs w:val="24"/>
        </w:rPr>
      </w:pPr>
      <w:r w:rsidRPr="00B369F9">
        <w:rPr>
          <w:rFonts w:ascii="Times New Roman" w:hAnsi="Times New Roman" w:cs="Times New Roman"/>
          <w:b/>
          <w:bCs/>
          <w:sz w:val="24"/>
          <w:szCs w:val="24"/>
        </w:rPr>
        <w:t>Совета директоров Общества в 202</w:t>
      </w:r>
      <w:r w:rsidR="00857EAD" w:rsidRPr="00B369F9">
        <w:rPr>
          <w:rFonts w:ascii="Times New Roman" w:hAnsi="Times New Roman" w:cs="Times New Roman"/>
          <w:b/>
          <w:bCs/>
          <w:sz w:val="24"/>
          <w:szCs w:val="24"/>
        </w:rPr>
        <w:t>3</w:t>
      </w:r>
      <w:r w:rsidRPr="00B369F9">
        <w:rPr>
          <w:rFonts w:ascii="Times New Roman" w:hAnsi="Times New Roman" w:cs="Times New Roman"/>
          <w:b/>
          <w:bCs/>
          <w:sz w:val="24"/>
          <w:szCs w:val="24"/>
        </w:rPr>
        <w:t xml:space="preserve"> году,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2"/>
        <w:gridCol w:w="1360"/>
      </w:tblGrid>
      <w:tr w:rsidR="00116471" w:rsidRPr="00957857" w:rsidTr="00116471">
        <w:trPr>
          <w:jc w:val="center"/>
        </w:trPr>
        <w:tc>
          <w:tcPr>
            <w:tcW w:w="6492" w:type="dxa"/>
            <w:tcMar>
              <w:top w:w="0" w:type="dxa"/>
              <w:left w:w="72" w:type="dxa"/>
              <w:bottom w:w="0" w:type="dxa"/>
              <w:right w:w="72" w:type="dxa"/>
            </w:tcMar>
            <w:hideMark/>
          </w:tcPr>
          <w:p w:rsidR="00116471" w:rsidRPr="00957857" w:rsidRDefault="00116471" w:rsidP="00116471">
            <w:pPr>
              <w:tabs>
                <w:tab w:val="left" w:pos="993"/>
              </w:tabs>
              <w:spacing w:after="0" w:line="240" w:lineRule="auto"/>
              <w:ind w:right="-142"/>
              <w:contextualSpacing/>
              <w:jc w:val="both"/>
              <w:rPr>
                <w:rFonts w:ascii="Times New Roman" w:hAnsi="Times New Roman" w:cs="Times New Roman"/>
                <w:b/>
                <w:bCs/>
                <w:sz w:val="20"/>
                <w:szCs w:val="20"/>
              </w:rPr>
            </w:pPr>
            <w:r w:rsidRPr="00957857">
              <w:rPr>
                <w:rFonts w:ascii="Times New Roman" w:hAnsi="Times New Roman" w:cs="Times New Roman"/>
                <w:b/>
                <w:bCs/>
                <w:sz w:val="20"/>
                <w:szCs w:val="20"/>
              </w:rPr>
              <w:t>Наименование показателя</w:t>
            </w:r>
          </w:p>
        </w:tc>
        <w:tc>
          <w:tcPr>
            <w:tcW w:w="1360" w:type="dxa"/>
            <w:shd w:val="clear" w:color="auto" w:fill="auto"/>
            <w:tcMar>
              <w:top w:w="0" w:type="dxa"/>
              <w:left w:w="72" w:type="dxa"/>
              <w:bottom w:w="0" w:type="dxa"/>
              <w:right w:w="72" w:type="dxa"/>
            </w:tcMar>
            <w:hideMark/>
          </w:tcPr>
          <w:p w:rsidR="00116471" w:rsidRPr="00957857" w:rsidRDefault="00116471" w:rsidP="00857EAD">
            <w:pPr>
              <w:tabs>
                <w:tab w:val="left" w:pos="993"/>
              </w:tabs>
              <w:spacing w:after="0" w:line="240" w:lineRule="auto"/>
              <w:ind w:right="-142"/>
              <w:contextualSpacing/>
              <w:jc w:val="both"/>
              <w:rPr>
                <w:rFonts w:ascii="Times New Roman" w:hAnsi="Times New Roman" w:cs="Times New Roman"/>
                <w:b/>
                <w:bCs/>
                <w:sz w:val="20"/>
                <w:szCs w:val="20"/>
              </w:rPr>
            </w:pPr>
            <w:r w:rsidRPr="00957857">
              <w:rPr>
                <w:rFonts w:ascii="Times New Roman" w:hAnsi="Times New Roman" w:cs="Times New Roman"/>
                <w:b/>
                <w:bCs/>
                <w:sz w:val="20"/>
                <w:szCs w:val="20"/>
              </w:rPr>
              <w:t>202</w:t>
            </w:r>
            <w:r w:rsidR="00857EAD" w:rsidRPr="00957857">
              <w:rPr>
                <w:rFonts w:ascii="Times New Roman" w:hAnsi="Times New Roman" w:cs="Times New Roman"/>
                <w:b/>
                <w:bCs/>
                <w:sz w:val="20"/>
                <w:szCs w:val="20"/>
              </w:rPr>
              <w:t>3</w:t>
            </w:r>
            <w:r w:rsidRPr="00957857">
              <w:rPr>
                <w:rFonts w:ascii="Times New Roman" w:hAnsi="Times New Roman" w:cs="Times New Roman"/>
                <w:b/>
                <w:bCs/>
                <w:sz w:val="20"/>
                <w:szCs w:val="20"/>
              </w:rPr>
              <w:t xml:space="preserve"> год</w:t>
            </w:r>
          </w:p>
        </w:tc>
      </w:tr>
      <w:tr w:rsidR="00116471" w:rsidRPr="00957857" w:rsidTr="00116471">
        <w:trPr>
          <w:jc w:val="center"/>
        </w:trPr>
        <w:tc>
          <w:tcPr>
            <w:tcW w:w="6492" w:type="dxa"/>
            <w:tcMar>
              <w:top w:w="0" w:type="dxa"/>
              <w:left w:w="72" w:type="dxa"/>
              <w:bottom w:w="0" w:type="dxa"/>
              <w:right w:w="72" w:type="dxa"/>
            </w:tcMar>
            <w:hideMark/>
          </w:tcPr>
          <w:p w:rsidR="00116471" w:rsidRPr="00957857" w:rsidRDefault="00116471" w:rsidP="00116471">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Компенсации расходов</w:t>
            </w:r>
          </w:p>
        </w:tc>
        <w:tc>
          <w:tcPr>
            <w:tcW w:w="1360" w:type="dxa"/>
            <w:shd w:val="clear" w:color="auto" w:fill="auto"/>
            <w:tcMar>
              <w:top w:w="0" w:type="dxa"/>
              <w:left w:w="72" w:type="dxa"/>
              <w:bottom w:w="0" w:type="dxa"/>
              <w:right w:w="72" w:type="dxa"/>
            </w:tcMar>
          </w:tcPr>
          <w:p w:rsidR="00116471" w:rsidRPr="00957857" w:rsidRDefault="00806F98" w:rsidP="00116471">
            <w:pPr>
              <w:tabs>
                <w:tab w:val="left" w:pos="993"/>
              </w:tabs>
              <w:spacing w:after="0" w:line="240" w:lineRule="auto"/>
              <w:ind w:right="-142"/>
              <w:contextualSpacing/>
              <w:jc w:val="both"/>
              <w:rPr>
                <w:rFonts w:ascii="Times New Roman" w:hAnsi="Times New Roman" w:cs="Times New Roman"/>
                <w:sz w:val="20"/>
                <w:szCs w:val="20"/>
              </w:rPr>
            </w:pPr>
            <w:r w:rsidRPr="00957857">
              <w:rPr>
                <w:rFonts w:ascii="Times New Roman" w:hAnsi="Times New Roman" w:cs="Times New Roman"/>
                <w:sz w:val="20"/>
                <w:szCs w:val="20"/>
              </w:rPr>
              <w:t>0</w:t>
            </w:r>
          </w:p>
        </w:tc>
      </w:tr>
    </w:tbl>
    <w:p w:rsidR="00116471" w:rsidRPr="00B369F9" w:rsidRDefault="00116471" w:rsidP="00116471">
      <w:pPr>
        <w:tabs>
          <w:tab w:val="left" w:pos="993"/>
        </w:tabs>
        <w:spacing w:after="0" w:line="240" w:lineRule="auto"/>
        <w:ind w:right="-142"/>
        <w:contextualSpacing/>
        <w:jc w:val="both"/>
        <w:rPr>
          <w:rFonts w:ascii="Times New Roman" w:hAnsi="Times New Roman" w:cs="Times New Roman"/>
          <w:sz w:val="24"/>
          <w:szCs w:val="24"/>
        </w:rPr>
      </w:pPr>
    </w:p>
    <w:p w:rsidR="00116471" w:rsidRPr="00B369F9" w:rsidRDefault="00116471" w:rsidP="00116471">
      <w:pPr>
        <w:pStyle w:val="af8"/>
        <w:tabs>
          <w:tab w:val="left" w:pos="993"/>
        </w:tabs>
        <w:ind w:left="709" w:right="-143"/>
        <w:contextualSpacing/>
        <w:jc w:val="both"/>
        <w:outlineLvl w:val="0"/>
        <w:rPr>
          <w:rFonts w:ascii="Times New Roman" w:hAnsi="Times New Roman" w:cs="Times New Roman"/>
          <w:b/>
          <w:sz w:val="24"/>
          <w:szCs w:val="24"/>
        </w:rPr>
      </w:pPr>
      <w:bookmarkStart w:id="46" w:name="_Toc163738882"/>
      <w:r w:rsidRPr="00B369F9">
        <w:rPr>
          <w:rFonts w:ascii="Times New Roman" w:hAnsi="Times New Roman" w:cs="Times New Roman"/>
          <w:b/>
          <w:sz w:val="24"/>
          <w:szCs w:val="24"/>
        </w:rPr>
        <w:t>Система вознаграждения Генерального директора Общества</w:t>
      </w:r>
      <w:bookmarkEnd w:id="46"/>
    </w:p>
    <w:p w:rsidR="00116471" w:rsidRPr="00B369F9" w:rsidRDefault="00116471" w:rsidP="00116471">
      <w:pPr>
        <w:pStyle w:val="af8"/>
        <w:tabs>
          <w:tab w:val="left" w:pos="993"/>
        </w:tabs>
        <w:ind w:left="709" w:right="-143"/>
        <w:contextualSpacing/>
        <w:jc w:val="both"/>
        <w:rPr>
          <w:rFonts w:ascii="Times New Roman" w:hAnsi="Times New Roman" w:cs="Times New Roman"/>
          <w:b/>
          <w:sz w:val="24"/>
          <w:szCs w:val="24"/>
        </w:rPr>
      </w:pP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 соответствии с </w:t>
      </w:r>
      <w:r w:rsidR="00A56C92">
        <w:rPr>
          <w:rFonts w:ascii="Times New Roman" w:eastAsia="Calibri" w:hAnsi="Times New Roman" w:cs="Times New Roman"/>
          <w:sz w:val="24"/>
          <w:szCs w:val="24"/>
        </w:rPr>
        <w:t>д</w:t>
      </w:r>
      <w:r w:rsidRPr="00B369F9">
        <w:rPr>
          <w:rFonts w:ascii="Times New Roman" w:eastAsia="Calibri" w:hAnsi="Times New Roman" w:cs="Times New Roman"/>
          <w:sz w:val="24"/>
          <w:szCs w:val="24"/>
        </w:rPr>
        <w:t>оговором от 03.08.2009 № 326/2009 о передаче полномочий единоличного исполнительного органа (генерального директора) Общества предусмотрена выплата управляющей организации – ПАО «Россети Северный Кавказ» вознаграждения за оказанные по договору услуги.</w:t>
      </w:r>
    </w:p>
    <w:p w:rsidR="00116471" w:rsidRPr="00B369F9" w:rsidRDefault="009806F9"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9806F9">
        <w:rPr>
          <w:rFonts w:ascii="Times New Roman" w:eastAsia="Calibri" w:hAnsi="Times New Roman" w:cs="Times New Roman"/>
          <w:sz w:val="24"/>
          <w:szCs w:val="24"/>
        </w:rPr>
        <w:t>Годовой размер вознаграждения, определенный решением Совета директоров Общества (протокол от 17.10.2016 № 112), составляет 65 008 494,61 руб</w:t>
      </w:r>
      <w:r w:rsidR="004A6991">
        <w:rPr>
          <w:rFonts w:ascii="Times New Roman" w:eastAsia="Calibri" w:hAnsi="Times New Roman" w:cs="Times New Roman"/>
          <w:sz w:val="24"/>
          <w:szCs w:val="24"/>
        </w:rPr>
        <w:t>лей</w:t>
      </w:r>
      <w:r w:rsidRPr="009806F9">
        <w:rPr>
          <w:rFonts w:ascii="Times New Roman" w:eastAsia="Calibri" w:hAnsi="Times New Roman" w:cs="Times New Roman"/>
          <w:sz w:val="24"/>
          <w:szCs w:val="24"/>
        </w:rPr>
        <w:t>, кроме того НДС – 11 701 529,03 руб</w:t>
      </w:r>
      <w:r w:rsidR="00A36D15">
        <w:rPr>
          <w:rFonts w:ascii="Times New Roman" w:eastAsia="Calibri" w:hAnsi="Times New Roman" w:cs="Times New Roman"/>
          <w:sz w:val="24"/>
          <w:szCs w:val="24"/>
        </w:rPr>
        <w:t>лей</w:t>
      </w:r>
      <w:r w:rsidR="00116471" w:rsidRPr="00B369F9">
        <w:rPr>
          <w:rFonts w:ascii="Times New Roman" w:eastAsia="Calibri" w:hAnsi="Times New Roman" w:cs="Times New Roman"/>
          <w:sz w:val="24"/>
          <w:szCs w:val="24"/>
        </w:rPr>
        <w:t>.</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Расчетным периодом считается месяц. Вознаграждение за отчетный период определяется делением общей суммы по договору на количество отчетных месяцев. В случае если услуги оказываются неполный месяц, стоимость услуг определяется путем деления стоимости за отчетный период на количество календарных дней в месяце и умножения на количество дней фактического оказания услуг.</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Срок действия Договора 1 год c даты вступления договора в силу.</w:t>
      </w:r>
    </w:p>
    <w:p w:rsidR="00116471" w:rsidRPr="00B369F9" w:rsidRDefault="00116471" w:rsidP="00116471">
      <w:pPr>
        <w:shd w:val="clear" w:color="auto" w:fill="FFFFFF"/>
        <w:suppressAutoHyphens/>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Договор автоматически продлевает свое действие и считается пролонгированным на последующий календарный год на аналогичных условиях, в случае, если ни одна </w:t>
      </w:r>
      <w:r w:rsidR="006F0219">
        <w:rPr>
          <w:rFonts w:ascii="Times New Roman" w:eastAsia="Calibri" w:hAnsi="Times New Roman" w:cs="Times New Roman"/>
          <w:sz w:val="24"/>
          <w:szCs w:val="24"/>
        </w:rPr>
        <w:t xml:space="preserve">из </w:t>
      </w:r>
      <w:r w:rsidRPr="00B369F9">
        <w:rPr>
          <w:rFonts w:ascii="Times New Roman" w:eastAsia="Calibri" w:hAnsi="Times New Roman" w:cs="Times New Roman"/>
          <w:sz w:val="24"/>
          <w:szCs w:val="24"/>
        </w:rPr>
        <w:t>сторон не уведомит в письменной форме другую сторону, не позднее 30 календарных дней до даты истечения срока действия договора, об отсутствии намерения продлить срок его действия.</w:t>
      </w:r>
    </w:p>
    <w:p w:rsidR="00116471" w:rsidRPr="00B369F9" w:rsidRDefault="00116471" w:rsidP="00116471">
      <w:pPr>
        <w:tabs>
          <w:tab w:val="left" w:pos="993"/>
        </w:tabs>
        <w:spacing w:after="0" w:line="240" w:lineRule="auto"/>
        <w:ind w:right="-1"/>
        <w:contextualSpacing/>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r>
      <w:r w:rsidR="00806F98" w:rsidRPr="00B369F9">
        <w:rPr>
          <w:rFonts w:ascii="Times New Roman" w:eastAsia="Calibri" w:hAnsi="Times New Roman" w:cs="Times New Roman"/>
          <w:sz w:val="24"/>
          <w:szCs w:val="24"/>
        </w:rPr>
        <w:t>В 2023 году за выполнение функции единоличного исполнительного органа АО</w:t>
      </w:r>
      <w:r w:rsidR="009E4824">
        <w:rPr>
          <w:rFonts w:ascii="Times New Roman" w:eastAsia="Calibri" w:hAnsi="Times New Roman" w:cs="Times New Roman"/>
          <w:sz w:val="24"/>
          <w:szCs w:val="24"/>
        </w:rPr>
        <w:t> </w:t>
      </w:r>
      <w:r w:rsidR="00806F98" w:rsidRPr="00B369F9">
        <w:rPr>
          <w:rFonts w:ascii="Times New Roman" w:eastAsia="Calibri" w:hAnsi="Times New Roman" w:cs="Times New Roman"/>
          <w:sz w:val="24"/>
          <w:szCs w:val="24"/>
        </w:rPr>
        <w:t xml:space="preserve">«Чеченэнерго» Обществом выплачено </w:t>
      </w:r>
      <w:r w:rsidR="000F355E" w:rsidRPr="00B369F9">
        <w:rPr>
          <w:rFonts w:ascii="Times New Roman" w:eastAsia="Calibri" w:hAnsi="Times New Roman" w:cs="Times New Roman"/>
          <w:sz w:val="24"/>
          <w:szCs w:val="24"/>
        </w:rPr>
        <w:t xml:space="preserve">ПАО «Россети Северный Кавказ» </w:t>
      </w:r>
      <w:r w:rsidR="00806F98" w:rsidRPr="00B369F9">
        <w:rPr>
          <w:rFonts w:ascii="Times New Roman" w:eastAsia="Calibri" w:hAnsi="Times New Roman" w:cs="Times New Roman"/>
          <w:sz w:val="24"/>
          <w:szCs w:val="24"/>
        </w:rPr>
        <w:t>вознаграждение в размере 67 879 тыс. руб</w:t>
      </w:r>
      <w:r w:rsidR="00EC6C25">
        <w:rPr>
          <w:rFonts w:ascii="Times New Roman" w:eastAsia="Calibri" w:hAnsi="Times New Roman" w:cs="Times New Roman"/>
          <w:sz w:val="24"/>
          <w:szCs w:val="24"/>
        </w:rPr>
        <w:t>лей</w:t>
      </w:r>
      <w:r w:rsidR="00806F98" w:rsidRPr="00B369F9">
        <w:rPr>
          <w:rFonts w:ascii="Times New Roman" w:eastAsia="Calibri" w:hAnsi="Times New Roman" w:cs="Times New Roman"/>
          <w:sz w:val="24"/>
          <w:szCs w:val="24"/>
        </w:rPr>
        <w:t>.</w:t>
      </w:r>
    </w:p>
    <w:p w:rsidR="00116471" w:rsidRPr="00B369F9" w:rsidRDefault="00116471" w:rsidP="00E61566">
      <w:pPr>
        <w:pStyle w:val="1"/>
        <w:ind w:firstLine="709"/>
        <w:rPr>
          <w:highlight w:val="yellow"/>
        </w:rPr>
      </w:pPr>
    </w:p>
    <w:p w:rsidR="00316631" w:rsidRPr="00B369F9" w:rsidRDefault="005F20EC" w:rsidP="00316631">
      <w:pPr>
        <w:keepNext/>
        <w:tabs>
          <w:tab w:val="left" w:pos="1134"/>
        </w:tabs>
        <w:suppressAutoHyphens/>
        <w:spacing w:after="0" w:line="240" w:lineRule="auto"/>
        <w:ind w:firstLine="709"/>
        <w:jc w:val="both"/>
        <w:outlineLvl w:val="0"/>
        <w:rPr>
          <w:rFonts w:ascii="Times New Roman" w:hAnsi="Times New Roman" w:cs="Times New Roman"/>
          <w:b/>
          <w:sz w:val="24"/>
          <w:szCs w:val="24"/>
        </w:rPr>
      </w:pPr>
      <w:bookmarkStart w:id="47" w:name="_Toc163738883"/>
      <w:r w:rsidRPr="005F20EC">
        <w:rPr>
          <w:rFonts w:ascii="Times New Roman" w:hAnsi="Times New Roman" w:cs="Times New Roman"/>
          <w:b/>
          <w:sz w:val="24"/>
          <w:szCs w:val="24"/>
        </w:rPr>
        <w:t>Управление рисками и внутренний контроль</w:t>
      </w:r>
      <w:bookmarkEnd w:id="47"/>
    </w:p>
    <w:p w:rsidR="00316631" w:rsidRPr="00B369F9" w:rsidRDefault="00316631" w:rsidP="00316631">
      <w:pPr>
        <w:pStyle w:val="af8"/>
        <w:ind w:left="0" w:firstLine="709"/>
        <w:jc w:val="both"/>
        <w:rPr>
          <w:rFonts w:ascii="Times New Roman" w:hAnsi="Times New Roman" w:cs="Times New Roman"/>
          <w:sz w:val="24"/>
          <w:szCs w:val="24"/>
        </w:rPr>
      </w:pPr>
    </w:p>
    <w:p w:rsidR="00913FF7" w:rsidRPr="00913FF7" w:rsidRDefault="00913FF7" w:rsidP="00913FF7">
      <w:pPr>
        <w:spacing w:after="0" w:line="240" w:lineRule="auto"/>
        <w:contextualSpacing/>
        <w:jc w:val="both"/>
        <w:rPr>
          <w:rFonts w:ascii="Times New Roman" w:hAnsi="Times New Roman" w:cs="Calibri"/>
          <w:sz w:val="24"/>
          <w:szCs w:val="24"/>
        </w:rPr>
      </w:pPr>
      <w:r>
        <w:rPr>
          <w:rFonts w:ascii="Times New Roman" w:hAnsi="Times New Roman" w:cs="Calibri"/>
          <w:sz w:val="24"/>
          <w:szCs w:val="24"/>
        </w:rPr>
        <w:tab/>
      </w:r>
      <w:r w:rsidRPr="00913FF7">
        <w:rPr>
          <w:rFonts w:ascii="Times New Roman" w:hAnsi="Times New Roman" w:cs="Calibri"/>
          <w:sz w:val="24"/>
          <w:szCs w:val="24"/>
        </w:rPr>
        <w:t xml:space="preserve">В Обществе утверждена и действует Политика управления рисками и внутреннего контроля АО «Чеченэнерго», которая определяет основные подходы и принципы организации и функционирования системы управления рисками и внутреннего контроля (далее </w:t>
      </w:r>
      <w:r w:rsidR="00834E70">
        <w:rPr>
          <w:rFonts w:ascii="Times New Roman" w:hAnsi="Times New Roman" w:cs="Calibri"/>
          <w:sz w:val="24"/>
          <w:szCs w:val="24"/>
        </w:rPr>
        <w:t xml:space="preserve">– </w:t>
      </w:r>
      <w:r w:rsidRPr="00913FF7">
        <w:rPr>
          <w:rFonts w:ascii="Times New Roman" w:hAnsi="Times New Roman" w:cs="Calibri"/>
          <w:sz w:val="24"/>
          <w:szCs w:val="24"/>
        </w:rPr>
        <w:t>СУРиВК) Общества.</w:t>
      </w:r>
    </w:p>
    <w:p w:rsidR="00913FF7" w:rsidRPr="00913FF7" w:rsidRDefault="00913FF7" w:rsidP="00913FF7">
      <w:pPr>
        <w:spacing w:after="0" w:line="240" w:lineRule="auto"/>
        <w:ind w:firstLine="709"/>
        <w:contextualSpacing/>
        <w:jc w:val="both"/>
        <w:rPr>
          <w:rFonts w:ascii="Times New Roman" w:hAnsi="Times New Roman" w:cs="Calibri"/>
          <w:sz w:val="24"/>
          <w:szCs w:val="24"/>
        </w:rPr>
      </w:pPr>
      <w:r w:rsidRPr="00913FF7">
        <w:rPr>
          <w:rFonts w:ascii="Times New Roman" w:hAnsi="Times New Roman" w:cs="Calibri"/>
          <w:sz w:val="24"/>
          <w:szCs w:val="24"/>
        </w:rPr>
        <w:t>Ключевые мероприятия, направленные на повышение эффективности СУРиВК:</w:t>
      </w:r>
    </w:p>
    <w:p w:rsidR="00913FF7" w:rsidRPr="00913FF7" w:rsidRDefault="00913FF7" w:rsidP="00913FF7">
      <w:pPr>
        <w:spacing w:after="0" w:line="240" w:lineRule="auto"/>
        <w:ind w:firstLine="709"/>
        <w:contextualSpacing/>
        <w:jc w:val="both"/>
        <w:rPr>
          <w:rFonts w:ascii="Times New Roman" w:hAnsi="Times New Roman" w:cs="Calibri"/>
          <w:sz w:val="24"/>
          <w:szCs w:val="24"/>
        </w:rPr>
      </w:pPr>
      <w:r>
        <w:rPr>
          <w:rFonts w:ascii="Times New Roman" w:hAnsi="Times New Roman" w:cs="Calibri"/>
          <w:sz w:val="24"/>
          <w:szCs w:val="24"/>
        </w:rPr>
        <w:t xml:space="preserve">- </w:t>
      </w:r>
      <w:r w:rsidRPr="00913FF7">
        <w:rPr>
          <w:rFonts w:ascii="Times New Roman" w:hAnsi="Times New Roman" w:cs="Calibri"/>
          <w:sz w:val="24"/>
          <w:szCs w:val="24"/>
        </w:rPr>
        <w:t>устранение недостатков внутреннего контроля, выявленных Ревизионной комиссией, внешними органами контроля и надзора;</w:t>
      </w:r>
    </w:p>
    <w:p w:rsidR="00913FF7" w:rsidRPr="00913FF7" w:rsidRDefault="00913FF7" w:rsidP="00913FF7">
      <w:pPr>
        <w:spacing w:after="0" w:line="240" w:lineRule="auto"/>
        <w:ind w:firstLine="709"/>
        <w:contextualSpacing/>
        <w:jc w:val="both"/>
        <w:rPr>
          <w:rFonts w:ascii="Times New Roman" w:hAnsi="Times New Roman" w:cs="Calibri"/>
          <w:sz w:val="24"/>
          <w:szCs w:val="24"/>
        </w:rPr>
      </w:pPr>
      <w:r>
        <w:rPr>
          <w:rFonts w:ascii="Times New Roman" w:hAnsi="Times New Roman" w:cs="Calibri"/>
          <w:sz w:val="24"/>
          <w:szCs w:val="24"/>
        </w:rPr>
        <w:t xml:space="preserve">- </w:t>
      </w:r>
      <w:r w:rsidRPr="00913FF7">
        <w:rPr>
          <w:rFonts w:ascii="Times New Roman" w:hAnsi="Times New Roman" w:cs="Calibri"/>
          <w:sz w:val="24"/>
          <w:szCs w:val="24"/>
        </w:rPr>
        <w:t>проверка и контроль исполнения отчетов бюджета движения денежных средств Обществом, контроль за движением и остатками денежных средств на расчетных счетах Общества;</w:t>
      </w:r>
    </w:p>
    <w:p w:rsidR="00913FF7" w:rsidRPr="00913FF7" w:rsidRDefault="00913FF7" w:rsidP="00913FF7">
      <w:pPr>
        <w:spacing w:after="0" w:line="240" w:lineRule="auto"/>
        <w:ind w:firstLine="709"/>
        <w:contextualSpacing/>
        <w:jc w:val="both"/>
        <w:rPr>
          <w:rFonts w:ascii="Times New Roman" w:hAnsi="Times New Roman" w:cs="Calibri"/>
          <w:sz w:val="24"/>
          <w:szCs w:val="24"/>
        </w:rPr>
      </w:pPr>
      <w:r>
        <w:rPr>
          <w:rFonts w:ascii="Times New Roman" w:hAnsi="Times New Roman" w:cs="Calibri"/>
          <w:sz w:val="24"/>
          <w:szCs w:val="24"/>
        </w:rPr>
        <w:lastRenderedPageBreak/>
        <w:t xml:space="preserve">- </w:t>
      </w:r>
      <w:r w:rsidRPr="00913FF7">
        <w:rPr>
          <w:rFonts w:ascii="Times New Roman" w:hAnsi="Times New Roman" w:cs="Calibri"/>
          <w:sz w:val="24"/>
          <w:szCs w:val="24"/>
        </w:rPr>
        <w:t>проведение анализа ежедневного мониторинга потребления электроэнергии, анализа еженедельного объёма полезного отпуска по потребителям, имеющим АСКУЭ;</w:t>
      </w:r>
    </w:p>
    <w:p w:rsidR="00913FF7" w:rsidRPr="00913FF7" w:rsidRDefault="00913FF7" w:rsidP="00913FF7">
      <w:pPr>
        <w:spacing w:after="0" w:line="240" w:lineRule="auto"/>
        <w:ind w:firstLine="709"/>
        <w:contextualSpacing/>
        <w:jc w:val="both"/>
        <w:rPr>
          <w:rFonts w:ascii="Times New Roman" w:hAnsi="Times New Roman" w:cs="Calibri"/>
          <w:sz w:val="24"/>
          <w:szCs w:val="24"/>
        </w:rPr>
      </w:pPr>
      <w:r>
        <w:rPr>
          <w:rFonts w:ascii="Times New Roman" w:hAnsi="Times New Roman" w:cs="Calibri"/>
          <w:sz w:val="24"/>
          <w:szCs w:val="24"/>
        </w:rPr>
        <w:t xml:space="preserve">- </w:t>
      </w:r>
      <w:r w:rsidRPr="00913FF7">
        <w:rPr>
          <w:rFonts w:ascii="Times New Roman" w:hAnsi="Times New Roman" w:cs="Calibri"/>
          <w:sz w:val="24"/>
          <w:szCs w:val="24"/>
        </w:rPr>
        <w:t>контроль за выполнением календарного плана проведения и контроля реализации тарифной кампании на услуги по передаче электрической энергии и услуги по технологическому присоединению;</w:t>
      </w:r>
    </w:p>
    <w:p w:rsidR="000E7370" w:rsidRPr="00B369F9" w:rsidRDefault="00913FF7" w:rsidP="00913FF7">
      <w:pPr>
        <w:spacing w:after="0" w:line="240" w:lineRule="auto"/>
        <w:ind w:firstLine="709"/>
        <w:contextualSpacing/>
        <w:jc w:val="both"/>
        <w:rPr>
          <w:rFonts w:ascii="Times New Roman" w:hAnsi="Times New Roman" w:cs="Calibri"/>
          <w:sz w:val="24"/>
          <w:szCs w:val="24"/>
        </w:rPr>
      </w:pPr>
      <w:r>
        <w:rPr>
          <w:rFonts w:ascii="Times New Roman" w:hAnsi="Times New Roman" w:cs="Calibri"/>
          <w:sz w:val="24"/>
          <w:szCs w:val="24"/>
        </w:rPr>
        <w:t xml:space="preserve">- </w:t>
      </w:r>
      <w:r w:rsidRPr="00913FF7">
        <w:rPr>
          <w:rFonts w:ascii="Times New Roman" w:hAnsi="Times New Roman" w:cs="Calibri"/>
          <w:sz w:val="24"/>
          <w:szCs w:val="24"/>
        </w:rPr>
        <w:t>контроль закупочной деятельности на предмет выполнения требований утвержденного в Обществе Антикоррупционного стандарта закупочной деятельности.</w:t>
      </w:r>
    </w:p>
    <w:p w:rsidR="000E7370" w:rsidRDefault="000E7370" w:rsidP="000E7370">
      <w:pPr>
        <w:spacing w:after="0" w:line="240" w:lineRule="auto"/>
        <w:ind w:right="-142"/>
        <w:contextualSpacing/>
        <w:jc w:val="both"/>
        <w:rPr>
          <w:rFonts w:ascii="Times New Roman" w:hAnsi="Times New Roman" w:cs="Times New Roman"/>
          <w:sz w:val="24"/>
          <w:szCs w:val="24"/>
        </w:rPr>
      </w:pPr>
    </w:p>
    <w:p w:rsidR="009E4824" w:rsidRPr="00B369F9" w:rsidRDefault="009E4824" w:rsidP="009E4824">
      <w:pPr>
        <w:spacing w:after="0" w:line="240" w:lineRule="auto"/>
        <w:ind w:right="-142"/>
        <w:contextualSpacing/>
        <w:jc w:val="center"/>
        <w:rPr>
          <w:rFonts w:ascii="Times New Roman" w:hAnsi="Times New Roman" w:cs="Times New Roman"/>
          <w:sz w:val="24"/>
          <w:szCs w:val="24"/>
        </w:rPr>
      </w:pPr>
      <w:r w:rsidRPr="009E4824">
        <w:rPr>
          <w:rFonts w:ascii="Times New Roman" w:hAnsi="Times New Roman" w:cs="Times New Roman"/>
          <w:b/>
          <w:bCs/>
          <w:sz w:val="24"/>
          <w:szCs w:val="24"/>
        </w:rPr>
        <w:t>Управление рисками и внутренний контроль</w:t>
      </w:r>
    </w:p>
    <w:tbl>
      <w:tblPr>
        <w:tblW w:w="10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4"/>
        <w:gridCol w:w="992"/>
        <w:gridCol w:w="992"/>
        <w:gridCol w:w="992"/>
        <w:gridCol w:w="850"/>
        <w:gridCol w:w="1136"/>
      </w:tblGrid>
      <w:tr w:rsidR="000E7370" w:rsidRPr="009C25EB" w:rsidTr="00251CF9">
        <w:trPr>
          <w:cantSplit/>
          <w:trHeight w:val="60"/>
          <w:jc w:val="center"/>
        </w:trPr>
        <w:tc>
          <w:tcPr>
            <w:tcW w:w="5524" w:type="dxa"/>
            <w:vMerge w:val="restart"/>
            <w:vAlign w:val="center"/>
          </w:tcPr>
          <w:p w:rsidR="000E7370" w:rsidRPr="009C25EB" w:rsidRDefault="000E7370" w:rsidP="000E7370">
            <w:pPr>
              <w:widowControl w:val="0"/>
              <w:spacing w:after="0" w:line="240" w:lineRule="auto"/>
              <w:ind w:left="-113" w:right="-114"/>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Показатели</w:t>
            </w:r>
          </w:p>
        </w:tc>
        <w:tc>
          <w:tcPr>
            <w:tcW w:w="992" w:type="dxa"/>
            <w:vMerge w:val="restart"/>
            <w:vAlign w:val="center"/>
          </w:tcPr>
          <w:p w:rsidR="000E7370" w:rsidRPr="009C25EB" w:rsidRDefault="000E7370" w:rsidP="000E7370">
            <w:pPr>
              <w:widowControl w:val="0"/>
              <w:tabs>
                <w:tab w:val="left" w:pos="40"/>
              </w:tabs>
              <w:spacing w:after="0" w:line="240" w:lineRule="auto"/>
              <w:ind w:left="-111" w:right="-112"/>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Ед.изм.</w:t>
            </w:r>
          </w:p>
        </w:tc>
        <w:tc>
          <w:tcPr>
            <w:tcW w:w="3970" w:type="dxa"/>
            <w:gridSpan w:val="4"/>
            <w:vAlign w:val="center"/>
          </w:tcPr>
          <w:p w:rsidR="000E7370" w:rsidRPr="009C25EB" w:rsidRDefault="000E7370" w:rsidP="000E7370">
            <w:pPr>
              <w:widowControl w:val="0"/>
              <w:spacing w:after="0" w:line="240" w:lineRule="auto"/>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Период</w:t>
            </w:r>
          </w:p>
        </w:tc>
      </w:tr>
      <w:tr w:rsidR="000E7370" w:rsidRPr="009C25EB" w:rsidTr="00251CF9">
        <w:trPr>
          <w:cantSplit/>
          <w:jc w:val="center"/>
        </w:trPr>
        <w:tc>
          <w:tcPr>
            <w:tcW w:w="5524" w:type="dxa"/>
            <w:vMerge/>
            <w:vAlign w:val="center"/>
          </w:tcPr>
          <w:p w:rsidR="000E7370" w:rsidRPr="009C25EB" w:rsidRDefault="000E7370" w:rsidP="000E7370">
            <w:pPr>
              <w:widowControl w:val="0"/>
              <w:spacing w:after="0" w:line="240" w:lineRule="auto"/>
              <w:ind w:left="426" w:right="-143" w:hanging="426"/>
              <w:jc w:val="center"/>
              <w:rPr>
                <w:rFonts w:ascii="Times New Roman" w:eastAsia="Times New Roman" w:hAnsi="Times New Roman" w:cs="Times New Roman"/>
                <w:b/>
                <w:bCs/>
                <w:color w:val="000000"/>
                <w:sz w:val="18"/>
                <w:szCs w:val="18"/>
                <w:lang w:eastAsia="ru-RU"/>
              </w:rPr>
            </w:pPr>
          </w:p>
        </w:tc>
        <w:tc>
          <w:tcPr>
            <w:tcW w:w="992" w:type="dxa"/>
            <w:vMerge/>
            <w:vAlign w:val="center"/>
          </w:tcPr>
          <w:p w:rsidR="000E7370" w:rsidRPr="009C25EB" w:rsidRDefault="000E7370" w:rsidP="000E7370">
            <w:pPr>
              <w:widowControl w:val="0"/>
              <w:tabs>
                <w:tab w:val="left" w:pos="40"/>
              </w:tabs>
              <w:spacing w:after="0" w:line="240" w:lineRule="auto"/>
              <w:ind w:left="426" w:right="-143" w:hanging="426"/>
              <w:jc w:val="both"/>
              <w:rPr>
                <w:rFonts w:ascii="Times New Roman" w:eastAsia="Times New Roman" w:hAnsi="Times New Roman" w:cs="Times New Roman"/>
                <w:b/>
                <w:bCs/>
                <w:color w:val="000000"/>
                <w:sz w:val="18"/>
                <w:szCs w:val="18"/>
                <w:lang w:eastAsia="ru-RU"/>
              </w:rPr>
            </w:pPr>
          </w:p>
        </w:tc>
        <w:tc>
          <w:tcPr>
            <w:tcW w:w="992" w:type="dxa"/>
            <w:vAlign w:val="center"/>
          </w:tcPr>
          <w:p w:rsidR="000E7370" w:rsidRPr="009C25EB" w:rsidRDefault="000E7370" w:rsidP="000E7370">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2021 год</w:t>
            </w:r>
          </w:p>
          <w:p w:rsidR="000E7370" w:rsidRPr="009C25EB" w:rsidRDefault="000E7370" w:rsidP="000E7370">
            <w:pPr>
              <w:widowControl w:val="0"/>
              <w:spacing w:after="0" w:line="240" w:lineRule="auto"/>
              <w:ind w:left="-113" w:right="-138"/>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факт</w:t>
            </w:r>
          </w:p>
        </w:tc>
        <w:tc>
          <w:tcPr>
            <w:tcW w:w="992" w:type="dxa"/>
            <w:shd w:val="clear" w:color="auto" w:fill="auto"/>
            <w:vAlign w:val="center"/>
          </w:tcPr>
          <w:p w:rsidR="000E7370" w:rsidRPr="009C25EB" w:rsidRDefault="000E7370" w:rsidP="000E7370">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2022 год</w:t>
            </w:r>
          </w:p>
          <w:p w:rsidR="000E7370" w:rsidRPr="009C25EB" w:rsidRDefault="000E7370" w:rsidP="000E7370">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факт</w:t>
            </w:r>
          </w:p>
        </w:tc>
        <w:tc>
          <w:tcPr>
            <w:tcW w:w="850" w:type="dxa"/>
            <w:shd w:val="clear" w:color="auto" w:fill="auto"/>
            <w:vAlign w:val="center"/>
          </w:tcPr>
          <w:p w:rsidR="000E7370" w:rsidRPr="009C25EB" w:rsidRDefault="000E7370" w:rsidP="000E7370">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2023 год</w:t>
            </w:r>
          </w:p>
          <w:p w:rsidR="000E7370" w:rsidRPr="009C25EB" w:rsidRDefault="000E7370" w:rsidP="000E7370">
            <w:pPr>
              <w:widowControl w:val="0"/>
              <w:spacing w:after="0" w:line="240" w:lineRule="auto"/>
              <w:ind w:left="-100" w:right="-143"/>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факт</w:t>
            </w:r>
          </w:p>
        </w:tc>
        <w:tc>
          <w:tcPr>
            <w:tcW w:w="1136" w:type="dxa"/>
            <w:shd w:val="clear" w:color="auto" w:fill="auto"/>
            <w:vAlign w:val="center"/>
          </w:tcPr>
          <w:p w:rsidR="000E7370" w:rsidRPr="009C25EB" w:rsidRDefault="000E7370" w:rsidP="00251CF9">
            <w:pPr>
              <w:widowControl w:val="0"/>
              <w:spacing w:after="0" w:line="240" w:lineRule="auto"/>
              <w:ind w:left="-107" w:right="-143"/>
              <w:jc w:val="center"/>
              <w:rPr>
                <w:rFonts w:ascii="Times New Roman" w:eastAsia="Times New Roman" w:hAnsi="Times New Roman" w:cs="Times New Roman"/>
                <w:b/>
                <w:bCs/>
                <w:color w:val="000000"/>
                <w:sz w:val="18"/>
                <w:szCs w:val="18"/>
                <w:lang w:eastAsia="ru-RU"/>
              </w:rPr>
            </w:pPr>
            <w:r w:rsidRPr="009C25EB">
              <w:rPr>
                <w:rFonts w:ascii="Times New Roman" w:eastAsia="Times New Roman" w:hAnsi="Times New Roman" w:cs="Times New Roman"/>
                <w:b/>
                <w:bCs/>
                <w:color w:val="000000"/>
                <w:sz w:val="18"/>
                <w:szCs w:val="18"/>
                <w:lang w:eastAsia="ru-RU"/>
              </w:rPr>
              <w:t>изменение 2023/2022, %</w:t>
            </w:r>
          </w:p>
        </w:tc>
      </w:tr>
      <w:tr w:rsidR="000E7370" w:rsidRPr="009C25EB" w:rsidTr="00251CF9">
        <w:trPr>
          <w:cantSplit/>
          <w:trHeight w:val="275"/>
          <w:jc w:val="center"/>
        </w:trPr>
        <w:tc>
          <w:tcPr>
            <w:tcW w:w="5524" w:type="dxa"/>
            <w:vAlign w:val="center"/>
          </w:tcPr>
          <w:p w:rsidR="000E7370" w:rsidRPr="009C25EB" w:rsidRDefault="000E7370" w:rsidP="000E7370">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sidRPr="009C25EB">
              <w:rPr>
                <w:rFonts w:ascii="Times New Roman" w:hAnsi="Times New Roman" w:cs="Times New Roman"/>
                <w:color w:val="000000"/>
                <w:sz w:val="18"/>
                <w:szCs w:val="18"/>
              </w:rPr>
              <w:t>Количество проведенных контрольных мероприятий, направленных на выявление и минимизацию рисков</w:t>
            </w:r>
          </w:p>
        </w:tc>
        <w:tc>
          <w:tcPr>
            <w:tcW w:w="992" w:type="dxa"/>
            <w:vAlign w:val="center"/>
          </w:tcPr>
          <w:p w:rsidR="000E7370" w:rsidRPr="009C25EB" w:rsidRDefault="000E7370" w:rsidP="000E7370">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шт.</w:t>
            </w:r>
          </w:p>
        </w:tc>
        <w:tc>
          <w:tcPr>
            <w:tcW w:w="992" w:type="dxa"/>
            <w:vAlign w:val="center"/>
          </w:tcPr>
          <w:p w:rsidR="000E7370" w:rsidRPr="009C25EB" w:rsidRDefault="000E7370" w:rsidP="000E7370">
            <w:pPr>
              <w:spacing w:after="0" w:line="240" w:lineRule="auto"/>
              <w:rPr>
                <w:rFonts w:ascii="Times New Roman" w:hAnsi="Times New Roman" w:cs="Times New Roman"/>
                <w:sz w:val="18"/>
                <w:szCs w:val="18"/>
              </w:rPr>
            </w:pPr>
            <w:r w:rsidRPr="009C25EB">
              <w:rPr>
                <w:rFonts w:ascii="Times New Roman" w:hAnsi="Times New Roman" w:cs="Times New Roman"/>
                <w:sz w:val="18"/>
                <w:szCs w:val="18"/>
              </w:rPr>
              <w:t>801</w:t>
            </w:r>
          </w:p>
        </w:tc>
        <w:tc>
          <w:tcPr>
            <w:tcW w:w="992" w:type="dxa"/>
            <w:shd w:val="clear" w:color="auto" w:fill="auto"/>
            <w:vAlign w:val="center"/>
          </w:tcPr>
          <w:p w:rsidR="000E7370" w:rsidRPr="009C25EB" w:rsidRDefault="000E7370" w:rsidP="000E7370">
            <w:pPr>
              <w:widowControl w:val="0"/>
              <w:spacing w:after="0" w:line="240" w:lineRule="auto"/>
              <w:ind w:right="-143"/>
              <w:rPr>
                <w:rFonts w:ascii="Times New Roman" w:hAnsi="Times New Roman" w:cs="Times New Roman"/>
                <w:bCs/>
                <w:color w:val="000000"/>
                <w:sz w:val="18"/>
                <w:szCs w:val="18"/>
              </w:rPr>
            </w:pPr>
            <w:r w:rsidRPr="009C25EB">
              <w:rPr>
                <w:rFonts w:ascii="Times New Roman" w:hAnsi="Times New Roman" w:cs="Times New Roman"/>
                <w:bCs/>
                <w:color w:val="000000"/>
                <w:sz w:val="18"/>
                <w:szCs w:val="18"/>
              </w:rPr>
              <w:t>806</w:t>
            </w:r>
          </w:p>
        </w:tc>
        <w:tc>
          <w:tcPr>
            <w:tcW w:w="850" w:type="dxa"/>
            <w:shd w:val="clear" w:color="auto" w:fill="auto"/>
            <w:vAlign w:val="center"/>
          </w:tcPr>
          <w:p w:rsidR="000E7370" w:rsidRPr="009C25EB" w:rsidRDefault="000E7370" w:rsidP="000E7370">
            <w:pPr>
              <w:widowControl w:val="0"/>
              <w:spacing w:after="0" w:line="240" w:lineRule="auto"/>
              <w:ind w:right="-143"/>
              <w:rPr>
                <w:rFonts w:ascii="Times New Roman" w:hAnsi="Times New Roman" w:cs="Times New Roman"/>
                <w:bCs/>
                <w:color w:val="000000"/>
                <w:sz w:val="18"/>
                <w:szCs w:val="18"/>
                <w:lang w:val="en-US"/>
              </w:rPr>
            </w:pPr>
            <w:r w:rsidRPr="009C25EB">
              <w:rPr>
                <w:rFonts w:ascii="Times New Roman" w:hAnsi="Times New Roman" w:cs="Times New Roman"/>
                <w:bCs/>
                <w:color w:val="000000"/>
                <w:sz w:val="18"/>
                <w:szCs w:val="18"/>
                <w:lang w:val="en-US"/>
              </w:rPr>
              <w:t>806</w:t>
            </w:r>
          </w:p>
        </w:tc>
        <w:tc>
          <w:tcPr>
            <w:tcW w:w="1136" w:type="dxa"/>
            <w:shd w:val="clear" w:color="auto" w:fill="auto"/>
            <w:vAlign w:val="center"/>
          </w:tcPr>
          <w:p w:rsidR="000E7370" w:rsidRPr="009C25EB" w:rsidRDefault="000E7370" w:rsidP="000E7370">
            <w:pPr>
              <w:widowControl w:val="0"/>
              <w:spacing w:after="0" w:line="240" w:lineRule="auto"/>
              <w:ind w:right="-143"/>
              <w:rPr>
                <w:rFonts w:ascii="Times New Roman" w:hAnsi="Times New Roman" w:cs="Times New Roman"/>
                <w:bCs/>
                <w:sz w:val="18"/>
                <w:szCs w:val="18"/>
              </w:rPr>
            </w:pPr>
            <w:r w:rsidRPr="009C25EB">
              <w:rPr>
                <w:rFonts w:ascii="Times New Roman" w:hAnsi="Times New Roman" w:cs="Times New Roman"/>
                <w:bCs/>
                <w:sz w:val="18"/>
                <w:szCs w:val="18"/>
              </w:rPr>
              <w:t>-</w:t>
            </w:r>
          </w:p>
        </w:tc>
      </w:tr>
      <w:tr w:rsidR="000E7370" w:rsidRPr="009C25EB" w:rsidTr="00251CF9">
        <w:trPr>
          <w:cantSplit/>
          <w:trHeight w:val="407"/>
          <w:jc w:val="center"/>
        </w:trPr>
        <w:tc>
          <w:tcPr>
            <w:tcW w:w="5524" w:type="dxa"/>
            <w:vAlign w:val="center"/>
          </w:tcPr>
          <w:p w:rsidR="000E7370" w:rsidRPr="009C25EB" w:rsidRDefault="000E7370" w:rsidP="000E7370">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sidRPr="009C25EB">
              <w:rPr>
                <w:rFonts w:ascii="Times New Roman" w:hAnsi="Times New Roman" w:cs="Times New Roman"/>
                <w:color w:val="000000"/>
                <w:sz w:val="18"/>
                <w:szCs w:val="18"/>
              </w:rPr>
              <w:t>Количество рассмотренных материалов (вопросов) закупочной деятельности</w:t>
            </w:r>
          </w:p>
        </w:tc>
        <w:tc>
          <w:tcPr>
            <w:tcW w:w="992" w:type="dxa"/>
            <w:vAlign w:val="center"/>
          </w:tcPr>
          <w:p w:rsidR="000E7370" w:rsidRPr="009C25EB" w:rsidRDefault="000E7370" w:rsidP="000E7370">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шт.</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val="en-US" w:eastAsia="ru-RU"/>
              </w:rPr>
            </w:pPr>
            <w:r w:rsidRPr="009C25EB">
              <w:rPr>
                <w:rFonts w:ascii="Times New Roman" w:eastAsia="Times New Roman" w:hAnsi="Times New Roman" w:cs="Times New Roman"/>
                <w:bCs/>
                <w:color w:val="000000"/>
                <w:sz w:val="18"/>
                <w:szCs w:val="18"/>
                <w:lang w:val="en-US" w:eastAsia="ru-RU"/>
              </w:rPr>
              <w:t>-</w:t>
            </w:r>
          </w:p>
        </w:tc>
        <w:tc>
          <w:tcPr>
            <w:tcW w:w="992" w:type="dxa"/>
            <w:shd w:val="clear" w:color="auto" w:fill="auto"/>
            <w:vAlign w:val="center"/>
          </w:tcPr>
          <w:p w:rsidR="000E7370" w:rsidRPr="009C25EB" w:rsidRDefault="000E7370" w:rsidP="000E7370">
            <w:pPr>
              <w:widowControl w:val="0"/>
              <w:spacing w:after="0" w:line="240" w:lineRule="auto"/>
              <w:ind w:left="426" w:right="-143" w:hanging="426"/>
              <w:rPr>
                <w:rFonts w:ascii="Times New Roman" w:eastAsia="Times New Roman" w:hAnsi="Times New Roman" w:cs="Times New Roman"/>
                <w:bCs/>
                <w:color w:val="000000"/>
                <w:sz w:val="18"/>
                <w:szCs w:val="18"/>
                <w:lang w:val="en-US" w:eastAsia="ru-RU"/>
              </w:rPr>
            </w:pPr>
            <w:r w:rsidRPr="009C25EB">
              <w:rPr>
                <w:rFonts w:ascii="Times New Roman" w:eastAsia="Times New Roman" w:hAnsi="Times New Roman" w:cs="Times New Roman"/>
                <w:bCs/>
                <w:color w:val="000000"/>
                <w:sz w:val="18"/>
                <w:szCs w:val="18"/>
                <w:lang w:val="en-US" w:eastAsia="ru-RU"/>
              </w:rPr>
              <w:t>-</w:t>
            </w:r>
          </w:p>
        </w:tc>
        <w:tc>
          <w:tcPr>
            <w:tcW w:w="850" w:type="dxa"/>
            <w:shd w:val="clear" w:color="auto" w:fill="auto"/>
            <w:vAlign w:val="center"/>
          </w:tcPr>
          <w:p w:rsidR="000E7370" w:rsidRPr="009C25EB" w:rsidRDefault="00723319" w:rsidP="000E7370">
            <w:pPr>
              <w:widowControl w:val="0"/>
              <w:spacing w:after="0" w:line="240" w:lineRule="auto"/>
              <w:ind w:left="426" w:right="-143" w:hanging="426"/>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i/>
                <w:color w:val="000000"/>
                <w:sz w:val="18"/>
                <w:szCs w:val="18"/>
                <w:lang w:eastAsia="ru-RU"/>
              </w:rPr>
            </w:pPr>
            <w:r w:rsidRPr="009C25EB">
              <w:rPr>
                <w:rFonts w:ascii="Times New Roman" w:eastAsia="Times New Roman" w:hAnsi="Times New Roman" w:cs="Times New Roman"/>
                <w:i/>
                <w:color w:val="000000"/>
                <w:sz w:val="18"/>
                <w:szCs w:val="18"/>
                <w:lang w:eastAsia="ru-RU"/>
              </w:rPr>
              <w:t>-</w:t>
            </w:r>
          </w:p>
        </w:tc>
      </w:tr>
      <w:tr w:rsidR="000E7370" w:rsidRPr="009C25EB" w:rsidTr="00251CF9">
        <w:trPr>
          <w:cantSplit/>
          <w:trHeight w:val="58"/>
          <w:jc w:val="center"/>
        </w:trPr>
        <w:tc>
          <w:tcPr>
            <w:tcW w:w="5524" w:type="dxa"/>
            <w:vAlign w:val="center"/>
          </w:tcPr>
          <w:p w:rsidR="000E7370" w:rsidRPr="009C25EB" w:rsidDel="007D77DA" w:rsidRDefault="000E7370" w:rsidP="000E7370">
            <w:pPr>
              <w:tabs>
                <w:tab w:val="left" w:pos="9356"/>
              </w:tabs>
              <w:spacing w:after="0" w:line="240" w:lineRule="auto"/>
              <w:ind w:right="39"/>
              <w:jc w:val="both"/>
              <w:rPr>
                <w:rFonts w:ascii="Times New Roman" w:hAnsi="Times New Roman" w:cs="Times New Roman"/>
                <w:color w:val="000000"/>
                <w:sz w:val="18"/>
                <w:szCs w:val="18"/>
              </w:rPr>
            </w:pPr>
            <w:r w:rsidRPr="009C25EB">
              <w:rPr>
                <w:rFonts w:ascii="Times New Roman" w:hAnsi="Times New Roman" w:cs="Times New Roman"/>
                <w:color w:val="000000"/>
                <w:sz w:val="18"/>
                <w:szCs w:val="18"/>
              </w:rPr>
              <w:t>Количество устраненных нарушений по результатам проверок, проведенных внешними органами контроля.</w:t>
            </w:r>
          </w:p>
        </w:tc>
        <w:tc>
          <w:tcPr>
            <w:tcW w:w="992" w:type="dxa"/>
            <w:vAlign w:val="center"/>
          </w:tcPr>
          <w:p w:rsidR="000E7370" w:rsidRPr="009C25EB" w:rsidDel="007D77DA"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шт. (%)</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val="en-US" w:eastAsia="ru-RU"/>
              </w:rPr>
            </w:pPr>
            <w:r w:rsidRPr="009C25EB">
              <w:rPr>
                <w:rFonts w:ascii="Times New Roman" w:eastAsia="Times New Roman" w:hAnsi="Times New Roman" w:cs="Times New Roman"/>
                <w:bCs/>
                <w:color w:val="000000"/>
                <w:sz w:val="18"/>
                <w:szCs w:val="18"/>
                <w:lang w:val="en-US" w:eastAsia="ru-RU"/>
              </w:rPr>
              <w:t>-</w:t>
            </w:r>
          </w:p>
        </w:tc>
        <w:tc>
          <w:tcPr>
            <w:tcW w:w="992" w:type="dxa"/>
            <w:shd w:val="clear" w:color="auto" w:fill="auto"/>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val="en-US" w:eastAsia="ru-RU"/>
              </w:rPr>
            </w:pPr>
            <w:r w:rsidRPr="009C25EB">
              <w:rPr>
                <w:rFonts w:ascii="Times New Roman" w:eastAsia="Times New Roman" w:hAnsi="Times New Roman" w:cs="Times New Roman"/>
                <w:bCs/>
                <w:color w:val="000000"/>
                <w:sz w:val="18"/>
                <w:szCs w:val="18"/>
                <w:lang w:val="en-US" w:eastAsia="ru-RU"/>
              </w:rPr>
              <w:t>-</w:t>
            </w:r>
          </w:p>
        </w:tc>
        <w:tc>
          <w:tcPr>
            <w:tcW w:w="850"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i/>
                <w:color w:val="000000"/>
                <w:sz w:val="18"/>
                <w:szCs w:val="18"/>
                <w:lang w:eastAsia="ru-RU"/>
              </w:rPr>
            </w:pPr>
            <w:r w:rsidRPr="009C25EB">
              <w:rPr>
                <w:rFonts w:ascii="Times New Roman" w:eastAsia="Times New Roman" w:hAnsi="Times New Roman" w:cs="Times New Roman"/>
                <w:i/>
                <w:color w:val="000000"/>
                <w:sz w:val="18"/>
                <w:szCs w:val="18"/>
                <w:lang w:eastAsia="ru-RU"/>
              </w:rPr>
              <w:t>-</w:t>
            </w:r>
          </w:p>
        </w:tc>
      </w:tr>
      <w:tr w:rsidR="000E7370" w:rsidRPr="009C25EB" w:rsidTr="00251CF9">
        <w:trPr>
          <w:cantSplit/>
          <w:trHeight w:val="58"/>
          <w:jc w:val="center"/>
        </w:trPr>
        <w:tc>
          <w:tcPr>
            <w:tcW w:w="5524" w:type="dxa"/>
            <w:vAlign w:val="center"/>
          </w:tcPr>
          <w:p w:rsidR="000E7370" w:rsidRPr="009C25EB" w:rsidDel="007D77DA" w:rsidRDefault="000E7370" w:rsidP="000E7370">
            <w:pPr>
              <w:tabs>
                <w:tab w:val="left" w:pos="9356"/>
              </w:tabs>
              <w:spacing w:after="0" w:line="240" w:lineRule="auto"/>
              <w:ind w:right="39"/>
              <w:jc w:val="both"/>
              <w:rPr>
                <w:rFonts w:ascii="Times New Roman" w:hAnsi="Times New Roman" w:cs="Times New Roman"/>
                <w:color w:val="000000"/>
                <w:sz w:val="18"/>
                <w:szCs w:val="18"/>
              </w:rPr>
            </w:pPr>
            <w:r w:rsidRPr="009C25EB">
              <w:rPr>
                <w:rFonts w:ascii="Times New Roman" w:eastAsia="Times New Roman" w:hAnsi="Times New Roman" w:cs="Times New Roman"/>
                <w:color w:val="000000"/>
                <w:sz w:val="18"/>
                <w:szCs w:val="18"/>
                <w:lang w:eastAsia="ru-RU"/>
              </w:rPr>
              <w:t>Общая сумма отмененных штрафов по результатам обжалования постановлений о привлечении к административной ответственности.</w:t>
            </w:r>
          </w:p>
        </w:tc>
        <w:tc>
          <w:tcPr>
            <w:tcW w:w="992" w:type="dxa"/>
            <w:vAlign w:val="center"/>
          </w:tcPr>
          <w:p w:rsidR="000E7370" w:rsidRPr="009C25EB" w:rsidDel="007D77DA"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млн руб.</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992" w:type="dxa"/>
            <w:shd w:val="clear" w:color="auto" w:fill="auto"/>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850"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i/>
                <w:color w:val="000000"/>
                <w:sz w:val="18"/>
                <w:szCs w:val="18"/>
                <w:lang w:eastAsia="ru-RU"/>
              </w:rPr>
            </w:pPr>
            <w:r w:rsidRPr="009C25EB">
              <w:rPr>
                <w:rFonts w:ascii="Times New Roman" w:eastAsia="Times New Roman" w:hAnsi="Times New Roman" w:cs="Times New Roman"/>
                <w:i/>
                <w:color w:val="000000"/>
                <w:sz w:val="18"/>
                <w:szCs w:val="18"/>
                <w:lang w:eastAsia="ru-RU"/>
              </w:rPr>
              <w:t>-</w:t>
            </w:r>
          </w:p>
        </w:tc>
      </w:tr>
      <w:tr w:rsidR="000E7370" w:rsidRPr="009C25EB" w:rsidTr="00251CF9">
        <w:trPr>
          <w:cantSplit/>
          <w:trHeight w:val="58"/>
          <w:jc w:val="center"/>
        </w:trPr>
        <w:tc>
          <w:tcPr>
            <w:tcW w:w="5524" w:type="dxa"/>
            <w:vAlign w:val="center"/>
          </w:tcPr>
          <w:p w:rsidR="000E7370" w:rsidRPr="009C25EB" w:rsidRDefault="000E7370" w:rsidP="000E7370">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sidRPr="009C25EB">
              <w:rPr>
                <w:rFonts w:ascii="Times New Roman" w:hAnsi="Times New Roman" w:cs="Times New Roman"/>
                <w:color w:val="000000"/>
                <w:sz w:val="18"/>
                <w:szCs w:val="18"/>
              </w:rPr>
              <w:t>Общая сумма поступивших в бюджет Общества денежных средств от контрагентов, находящихся в процедурах банкротства и ликвидации</w:t>
            </w:r>
            <w:r w:rsidRPr="009C25EB">
              <w:rPr>
                <w:rFonts w:ascii="Times New Roman" w:eastAsia="Times New Roman" w:hAnsi="Times New Roman" w:cs="Times New Roman"/>
                <w:color w:val="000000"/>
                <w:sz w:val="18"/>
                <w:szCs w:val="18"/>
                <w:lang w:eastAsia="ru-RU"/>
              </w:rPr>
              <w:t xml:space="preserve"> </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млн руб.</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181,2</w:t>
            </w:r>
          </w:p>
        </w:tc>
        <w:tc>
          <w:tcPr>
            <w:tcW w:w="992" w:type="dxa"/>
            <w:shd w:val="clear" w:color="auto" w:fill="auto"/>
            <w:vAlign w:val="center"/>
          </w:tcPr>
          <w:p w:rsidR="000E7370" w:rsidRPr="009C25EB" w:rsidRDefault="000E7370" w:rsidP="000E7370">
            <w:pPr>
              <w:widowControl w:val="0"/>
              <w:spacing w:after="0" w:line="240" w:lineRule="auto"/>
              <w:ind w:right="-115"/>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8,8</w:t>
            </w:r>
          </w:p>
        </w:tc>
        <w:tc>
          <w:tcPr>
            <w:tcW w:w="850" w:type="dxa"/>
            <w:shd w:val="clear" w:color="auto" w:fill="auto"/>
            <w:vAlign w:val="center"/>
          </w:tcPr>
          <w:p w:rsidR="000E7370" w:rsidRPr="009C25EB" w:rsidRDefault="000E7370" w:rsidP="000E7370">
            <w:pPr>
              <w:widowControl w:val="0"/>
              <w:spacing w:after="0" w:line="240" w:lineRule="auto"/>
              <w:ind w:right="-115"/>
              <w:rPr>
                <w:rFonts w:ascii="Times New Roman" w:eastAsia="Times New Roman" w:hAnsi="Times New Roman" w:cs="Times New Roman"/>
                <w:bCs/>
                <w:color w:val="000000"/>
                <w:sz w:val="18"/>
                <w:szCs w:val="18"/>
                <w:lang w:val="en-US" w:eastAsia="ru-RU"/>
              </w:rPr>
            </w:pPr>
            <w:r w:rsidRPr="009C25EB">
              <w:rPr>
                <w:rFonts w:ascii="Times New Roman" w:eastAsia="Times New Roman" w:hAnsi="Times New Roman" w:cs="Times New Roman"/>
                <w:bCs/>
                <w:color w:val="000000"/>
                <w:sz w:val="18"/>
                <w:szCs w:val="18"/>
                <w:lang w:val="en-US" w:eastAsia="ru-RU"/>
              </w:rPr>
              <w:t>1,5</w:t>
            </w:r>
          </w:p>
        </w:tc>
        <w:tc>
          <w:tcPr>
            <w:tcW w:w="1136" w:type="dxa"/>
            <w:shd w:val="clear" w:color="auto" w:fill="auto"/>
            <w:vAlign w:val="center"/>
          </w:tcPr>
          <w:p w:rsidR="000E7370" w:rsidRPr="009C25EB" w:rsidRDefault="00D86278" w:rsidP="000E7370">
            <w:pPr>
              <w:widowControl w:val="0"/>
              <w:spacing w:after="0" w:line="240" w:lineRule="auto"/>
              <w:ind w:right="-143"/>
              <w:rPr>
                <w:rFonts w:ascii="Times New Roman" w:eastAsia="Times New Roman" w:hAnsi="Times New Roman" w:cs="Times New Roman"/>
                <w:color w:val="000000"/>
                <w:sz w:val="18"/>
                <w:szCs w:val="18"/>
                <w:lang w:val="en-US" w:eastAsia="ru-RU"/>
              </w:rPr>
            </w:pPr>
            <w:r w:rsidRPr="009C25EB">
              <w:rPr>
                <w:rFonts w:ascii="Times New Roman" w:eastAsia="Times New Roman" w:hAnsi="Times New Roman" w:cs="Times New Roman"/>
                <w:color w:val="000000"/>
                <w:sz w:val="18"/>
                <w:szCs w:val="18"/>
                <w:lang w:eastAsia="ru-RU"/>
              </w:rPr>
              <w:t>-83</w:t>
            </w:r>
          </w:p>
        </w:tc>
      </w:tr>
      <w:tr w:rsidR="000E7370" w:rsidRPr="009C25EB" w:rsidTr="00251CF9">
        <w:trPr>
          <w:cantSplit/>
          <w:trHeight w:val="365"/>
          <w:jc w:val="center"/>
        </w:trPr>
        <w:tc>
          <w:tcPr>
            <w:tcW w:w="5524" w:type="dxa"/>
            <w:vAlign w:val="center"/>
          </w:tcPr>
          <w:p w:rsidR="000E7370" w:rsidRPr="009C25EB" w:rsidRDefault="000E7370" w:rsidP="000E7370">
            <w:pPr>
              <w:tabs>
                <w:tab w:val="left" w:pos="9356"/>
              </w:tabs>
              <w:spacing w:after="0" w:line="240" w:lineRule="auto"/>
              <w:ind w:right="39"/>
              <w:jc w:val="both"/>
              <w:rPr>
                <w:rFonts w:ascii="Times New Roman" w:eastAsia="Times New Roman" w:hAnsi="Times New Roman" w:cs="Times New Roman"/>
                <w:color w:val="000000"/>
                <w:sz w:val="18"/>
                <w:szCs w:val="18"/>
                <w:lang w:eastAsia="ru-RU"/>
              </w:rPr>
            </w:pPr>
            <w:r w:rsidRPr="009C25EB">
              <w:rPr>
                <w:rFonts w:ascii="Times New Roman" w:hAnsi="Times New Roman" w:cs="Times New Roman"/>
                <w:color w:val="000000"/>
                <w:sz w:val="18"/>
                <w:szCs w:val="18"/>
              </w:rPr>
              <w:t>Общая сумма сэкономленных Обществом денежных средств в связи с приобретением на торгах собственной задолженности перед должниками, находящимися в процедурах банкротства</w:t>
            </w:r>
            <w:r w:rsidRPr="009C25EB">
              <w:rPr>
                <w:rFonts w:ascii="Times New Roman" w:eastAsia="Times New Roman" w:hAnsi="Times New Roman" w:cs="Times New Roman"/>
                <w:color w:val="000000"/>
                <w:sz w:val="18"/>
                <w:szCs w:val="18"/>
                <w:lang w:eastAsia="ru-RU"/>
              </w:rPr>
              <w:t xml:space="preserve"> </w:t>
            </w: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млн руб.</w:t>
            </w:r>
          </w:p>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p>
        </w:tc>
        <w:tc>
          <w:tcPr>
            <w:tcW w:w="992" w:type="dxa"/>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992" w:type="dxa"/>
            <w:shd w:val="clear" w:color="auto" w:fill="auto"/>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850" w:type="dxa"/>
            <w:shd w:val="clear" w:color="auto" w:fill="auto"/>
            <w:vAlign w:val="center"/>
          </w:tcPr>
          <w:p w:rsidR="000E7370" w:rsidRPr="009C25EB" w:rsidRDefault="00723319" w:rsidP="000E7370">
            <w:pPr>
              <w:widowControl w:val="0"/>
              <w:spacing w:after="0" w:line="240" w:lineRule="auto"/>
              <w:ind w:right="-143"/>
              <w:rPr>
                <w:rFonts w:ascii="Times New Roman" w:eastAsia="Times New Roman" w:hAnsi="Times New Roman" w:cs="Times New Roman"/>
                <w:bCs/>
                <w:color w:val="000000"/>
                <w:sz w:val="18"/>
                <w:szCs w:val="18"/>
                <w:lang w:eastAsia="ru-RU"/>
              </w:rPr>
            </w:pPr>
            <w:r w:rsidRPr="009C25EB">
              <w:rPr>
                <w:rFonts w:ascii="Times New Roman" w:eastAsia="Times New Roman" w:hAnsi="Times New Roman" w:cs="Times New Roman"/>
                <w:bCs/>
                <w:color w:val="000000"/>
                <w:sz w:val="18"/>
                <w:szCs w:val="18"/>
                <w:lang w:eastAsia="ru-RU"/>
              </w:rPr>
              <w:t>-</w:t>
            </w:r>
          </w:p>
        </w:tc>
        <w:tc>
          <w:tcPr>
            <w:tcW w:w="1136" w:type="dxa"/>
            <w:shd w:val="clear" w:color="auto" w:fill="auto"/>
            <w:vAlign w:val="center"/>
          </w:tcPr>
          <w:p w:rsidR="000E7370" w:rsidRPr="009C25EB" w:rsidRDefault="000E7370" w:rsidP="000E7370">
            <w:pPr>
              <w:widowControl w:val="0"/>
              <w:spacing w:after="0" w:line="240" w:lineRule="auto"/>
              <w:ind w:right="-143"/>
              <w:rPr>
                <w:rFonts w:ascii="Times New Roman" w:eastAsia="Times New Roman" w:hAnsi="Times New Roman" w:cs="Times New Roman"/>
                <w:i/>
                <w:color w:val="000000"/>
                <w:sz w:val="18"/>
                <w:szCs w:val="18"/>
                <w:lang w:eastAsia="ru-RU"/>
              </w:rPr>
            </w:pPr>
            <w:r w:rsidRPr="009C25EB">
              <w:rPr>
                <w:rFonts w:ascii="Times New Roman" w:eastAsia="Times New Roman" w:hAnsi="Times New Roman" w:cs="Times New Roman"/>
                <w:i/>
                <w:color w:val="000000"/>
                <w:sz w:val="18"/>
                <w:szCs w:val="18"/>
                <w:lang w:eastAsia="ru-RU"/>
              </w:rPr>
              <w:t>-</w:t>
            </w:r>
          </w:p>
        </w:tc>
      </w:tr>
    </w:tbl>
    <w:p w:rsidR="00316631" w:rsidRPr="00B369F9" w:rsidRDefault="00316631" w:rsidP="000E7370">
      <w:pPr>
        <w:spacing w:after="0" w:line="240" w:lineRule="auto"/>
        <w:ind w:right="-142"/>
        <w:contextualSpacing/>
        <w:jc w:val="both"/>
        <w:rPr>
          <w:rFonts w:ascii="Times New Roman" w:hAnsi="Times New Roman" w:cs="Times New Roman"/>
          <w:sz w:val="24"/>
          <w:szCs w:val="24"/>
        </w:rPr>
      </w:pPr>
    </w:p>
    <w:p w:rsidR="00A81B84" w:rsidRPr="00B369F9" w:rsidRDefault="00A81B84" w:rsidP="005B2B61">
      <w:pPr>
        <w:pStyle w:val="1"/>
        <w:ind w:firstLine="709"/>
      </w:pPr>
      <w:bookmarkStart w:id="48" w:name="_Toc100218039"/>
      <w:bookmarkStart w:id="49" w:name="_Toc163738884"/>
      <w:r w:rsidRPr="00B369F9">
        <w:t>Ревизионная комиссия</w:t>
      </w:r>
      <w:bookmarkEnd w:id="48"/>
      <w:bookmarkEnd w:id="49"/>
      <w:r w:rsidRPr="00B369F9">
        <w:t xml:space="preserve"> </w:t>
      </w:r>
    </w:p>
    <w:p w:rsidR="004E6104" w:rsidRPr="00B369F9" w:rsidRDefault="004E6104" w:rsidP="007C7C02">
      <w:pPr>
        <w:spacing w:after="0" w:line="240" w:lineRule="auto"/>
        <w:rPr>
          <w:sz w:val="24"/>
          <w:szCs w:val="24"/>
          <w:lang w:eastAsia="ru-RU"/>
        </w:rPr>
      </w:pPr>
    </w:p>
    <w:p w:rsidR="002A25CD" w:rsidRPr="00B369F9" w:rsidRDefault="002A25CD" w:rsidP="007C7C02">
      <w:pPr>
        <w:spacing w:after="0" w:line="240" w:lineRule="auto"/>
        <w:ind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соответствии со статьей 24 Устава АО «Чеченэнерго» для осуществления контроля за финансово-хозяйственной деятельностью Общества Общим собранием акционеров избирается Ревизионная комиссия Общества на срок до следующего годового Общего собрания акционеров.</w:t>
      </w:r>
    </w:p>
    <w:p w:rsidR="002A25CD" w:rsidRPr="00B369F9" w:rsidRDefault="002A25CD" w:rsidP="007C7C02">
      <w:pPr>
        <w:spacing w:after="0" w:line="240" w:lineRule="auto"/>
        <w:ind w:firstLine="708"/>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В своей деятельности Ревизионная комиссия Общества руководствуется Федеральным законом «Об акционерных обществах», а также иными нормативными правовыми актами Российской Федерации, Уставом Общества, Положением о Ревизионной комиссии.</w:t>
      </w:r>
    </w:p>
    <w:p w:rsidR="002A25CD" w:rsidRPr="00B369F9" w:rsidRDefault="002A25CD" w:rsidP="007C7C02">
      <w:pPr>
        <w:spacing w:after="0" w:line="240" w:lineRule="auto"/>
        <w:ind w:firstLine="709"/>
        <w:jc w:val="both"/>
        <w:rPr>
          <w:rFonts w:ascii="Times New Roman" w:eastAsia="Calibri" w:hAnsi="Times New Roman" w:cs="Times New Roman"/>
          <w:sz w:val="24"/>
          <w:szCs w:val="24"/>
          <w:lang w:eastAsia="ru-RU"/>
        </w:rPr>
      </w:pPr>
      <w:r w:rsidRPr="00B369F9">
        <w:rPr>
          <w:rFonts w:ascii="Times New Roman" w:eastAsia="Times New Roman" w:hAnsi="Times New Roman" w:cs="Times New Roman"/>
          <w:sz w:val="24"/>
          <w:szCs w:val="24"/>
          <w:lang w:eastAsia="ru-RU"/>
        </w:rPr>
        <w:t>Компетенция Ревизионной комиссии установлена статьей 85 Федерального закона «Об акционерных обществах» и статьей 2</w:t>
      </w:r>
      <w:r w:rsidR="00467B14" w:rsidRPr="00B369F9">
        <w:rPr>
          <w:rFonts w:ascii="Times New Roman" w:eastAsia="Times New Roman" w:hAnsi="Times New Roman" w:cs="Times New Roman"/>
          <w:sz w:val="24"/>
          <w:szCs w:val="24"/>
          <w:lang w:eastAsia="ru-RU"/>
        </w:rPr>
        <w:t>4</w:t>
      </w:r>
      <w:r w:rsidRPr="00B369F9">
        <w:rPr>
          <w:rFonts w:ascii="Times New Roman" w:eastAsia="Times New Roman" w:hAnsi="Times New Roman" w:cs="Times New Roman"/>
          <w:sz w:val="24"/>
          <w:szCs w:val="24"/>
          <w:lang w:eastAsia="ru-RU"/>
        </w:rPr>
        <w:t xml:space="preserve"> Устава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К компетенции Ревизионной комиссии Общества относится:</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(ревизия) финансовой, бухгалтерской, платежно-расчетной и иной документации Общества, связанной с осуществлением Обществом финансово-хозяйственной деятельности, на предмет ее соответствия законодательству Российской Федерации, Уставу и внутренним документам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и анализ финансового состояния Общества, его платежеспособности, функционирования системы внутреннего контроля и системы управления рисками, ликвидности активов, соотношения собственных и заемных средств, правильности и своевременности начисления и выплаты процентов по облигациям, доходов по иным ценным бумагам;</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контроль за расходованием денежных средств Общества в соответствии с утвержденным бизнес-планом и бюджетом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контроль за формированием и использованием резервного и иных специальных фондов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lastRenderedPageBreak/>
        <w:t>- проверка своевременности и правильности ведения расчетных операций с контрагентами и бюджетом, а также расчетных операций по оплате труда, социальному страхованию, начислению и выплате дивидендов и других расчетных операций;</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контроль за соблюдением установленного порядка списания на убытки Общества задолженности неплатежеспособных дебиторов;</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хозяйственных операций Общества, осуществляемых в соответствии с заключенными договорами;</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соблюдения при использовании материальных, трудовых и финансовых ресурсов в финансово-хозяйственной деятельности действующих договоров, норм и нормативов, утвержденных смет и других документов, регламентирующих деятельность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контроль за сохранностью и использованием основных средств;</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кассы и имущества Общества, эффективности использования активов и иных ресурсов Общества, выявление причин непроизводственных потерь и расходов, выявление резервов улучшения финансового состояния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проверка выполнения предписаний по устранению нарушений и недостатков, ранее выявленных Ревизионной комиссией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выработка рекомендаций для органов управления Общества;</w:t>
      </w:r>
    </w:p>
    <w:p w:rsidR="002A25CD" w:rsidRPr="00B369F9" w:rsidRDefault="002A25CD" w:rsidP="007C7C02">
      <w:pPr>
        <w:spacing w:after="0" w:line="240" w:lineRule="auto"/>
        <w:ind w:firstLine="708"/>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осуществление иных действий (мероприятий), связанных с проверкой финансово-хозяйственной деятельности Общества.</w:t>
      </w:r>
    </w:p>
    <w:p w:rsidR="002A25CD" w:rsidRPr="00B369F9" w:rsidRDefault="002A25CD" w:rsidP="007C7C02">
      <w:pPr>
        <w:spacing w:after="0" w:line="240" w:lineRule="auto"/>
        <w:ind w:firstLine="709"/>
        <w:jc w:val="both"/>
        <w:rPr>
          <w:rFonts w:ascii="Times New Roman" w:eastAsia="Times New Roman" w:hAnsi="Times New Roman" w:cs="Times New Roman"/>
          <w:b/>
          <w:sz w:val="24"/>
          <w:szCs w:val="24"/>
          <w:lang w:eastAsia="ru-RU"/>
        </w:rPr>
      </w:pPr>
    </w:p>
    <w:p w:rsidR="002A25CD" w:rsidRPr="00B369F9" w:rsidRDefault="002A25CD" w:rsidP="007C7C02">
      <w:pPr>
        <w:spacing w:after="0" w:line="240" w:lineRule="auto"/>
        <w:ind w:firstLine="709"/>
        <w:jc w:val="both"/>
        <w:rPr>
          <w:rFonts w:ascii="Times New Roman" w:eastAsia="Times New Roman" w:hAnsi="Times New Roman" w:cs="Times New Roman"/>
          <w:b/>
          <w:sz w:val="24"/>
          <w:szCs w:val="24"/>
          <w:lang w:eastAsia="ru-RU"/>
        </w:rPr>
      </w:pPr>
      <w:r w:rsidRPr="00B369F9">
        <w:rPr>
          <w:rFonts w:ascii="Times New Roman" w:eastAsia="Times New Roman" w:hAnsi="Times New Roman" w:cs="Times New Roman"/>
          <w:b/>
          <w:sz w:val="24"/>
          <w:szCs w:val="24"/>
          <w:lang w:eastAsia="ru-RU"/>
        </w:rPr>
        <w:t>Функционал и результаты деятельности Ревизионной комиссии в отчетном году</w:t>
      </w:r>
    </w:p>
    <w:p w:rsidR="002A25CD" w:rsidRPr="00B369F9" w:rsidRDefault="002A25CD" w:rsidP="007C7C02">
      <w:pPr>
        <w:spacing w:after="0" w:line="240" w:lineRule="auto"/>
        <w:ind w:firstLine="709"/>
        <w:jc w:val="both"/>
        <w:rPr>
          <w:rFonts w:ascii="Times New Roman" w:eastAsia="Times New Roman" w:hAnsi="Times New Roman" w:cs="Times New Roman"/>
          <w:b/>
          <w:sz w:val="24"/>
          <w:szCs w:val="24"/>
          <w:lang w:eastAsia="ru-RU"/>
        </w:rPr>
      </w:pP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Положение о Ревизионной комиссии АО «Чеченэнерго» в новой редакции утверждено Решением годового Общего собрания акционеров АО «Чеченэнерго» 22.06.2022 (протокол от 22.06.2022 № 25). Согласно п.</w:t>
      </w:r>
      <w:r w:rsidR="000F355E">
        <w:rPr>
          <w:rFonts w:ascii="Times New Roman" w:eastAsia="MS Mincho" w:hAnsi="Times New Roman" w:cs="Times New Roman"/>
          <w:sz w:val="24"/>
          <w:szCs w:val="24"/>
          <w:lang w:eastAsia="ru-RU"/>
        </w:rPr>
        <w:t xml:space="preserve"> </w:t>
      </w:r>
      <w:r w:rsidRPr="00B369F9">
        <w:rPr>
          <w:rFonts w:ascii="Times New Roman" w:eastAsia="MS Mincho" w:hAnsi="Times New Roman" w:cs="Times New Roman"/>
          <w:sz w:val="24"/>
          <w:szCs w:val="24"/>
          <w:lang w:eastAsia="ru-RU"/>
        </w:rPr>
        <w:t>2 Положения о Ревизионной комиссии задачами Ревизионной комиссии Общества являются:</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1) осуществление контроля за финансово-хозяйственной деятельностью Общества;</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2) осуществление независимой оценки достоверности данных, содержащихся в годовом отчете Общества, годовой бухгалтерской (финансовой) отчетности Общества.</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В 2023 году Ревизионной комиссией Общества проведена ревизионная проверка финансово-хозяйственной деятельности АО «Чеченэнерго» за 2022 год. Программа проверки финансово-хозяйственной деятельности АО «Чеченэнерго» за 2022 год утверждена решением Ревизионной комиссии АО «Чеченэнерго» (протокол от 24.01.2023 № 2).</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xml:space="preserve">Указанная Программа включала следующие вопросы: </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1.</w:t>
      </w:r>
      <w:r w:rsidRPr="00B369F9">
        <w:rPr>
          <w:rFonts w:ascii="Times New Roman" w:eastAsia="MS Mincho" w:hAnsi="Times New Roman" w:cs="Times New Roman"/>
          <w:sz w:val="24"/>
          <w:szCs w:val="24"/>
          <w:lang w:eastAsia="ru-RU"/>
        </w:rPr>
        <w:tab/>
        <w:t>Оценка достоверности годовой бухгалтерской (финансовой) отчетности, сформированной по состоянию на 31.12.2022.</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2.</w:t>
      </w:r>
      <w:r w:rsidRPr="00B369F9">
        <w:rPr>
          <w:rFonts w:ascii="Times New Roman" w:eastAsia="MS Mincho" w:hAnsi="Times New Roman" w:cs="Times New Roman"/>
          <w:sz w:val="24"/>
          <w:szCs w:val="24"/>
          <w:lang w:eastAsia="ru-RU"/>
        </w:rPr>
        <w:tab/>
        <w:t>Анализ финансового положения и финансового состояния Общества по состоянию на 31.12.2022.</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3.</w:t>
      </w:r>
      <w:r w:rsidRPr="00B369F9">
        <w:rPr>
          <w:rFonts w:ascii="Times New Roman" w:eastAsia="MS Mincho" w:hAnsi="Times New Roman" w:cs="Times New Roman"/>
          <w:sz w:val="24"/>
          <w:szCs w:val="24"/>
          <w:lang w:eastAsia="ru-RU"/>
        </w:rPr>
        <w:tab/>
        <w:t>Оценка достоверности Годового отчета Общества за 2022 год.</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4.</w:t>
      </w:r>
      <w:r w:rsidRPr="00B369F9">
        <w:rPr>
          <w:rFonts w:ascii="Times New Roman" w:eastAsia="MS Mincho" w:hAnsi="Times New Roman" w:cs="Times New Roman"/>
          <w:sz w:val="24"/>
          <w:szCs w:val="24"/>
          <w:lang w:eastAsia="ru-RU"/>
        </w:rPr>
        <w:tab/>
        <w:t>Проверка исполнения законодательства Российской Федерации в части соблюдения порядка заключения сделок с заинтересованностью.</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5.</w:t>
      </w:r>
      <w:r w:rsidRPr="00B369F9">
        <w:rPr>
          <w:rFonts w:ascii="Times New Roman" w:eastAsia="MS Mincho" w:hAnsi="Times New Roman" w:cs="Times New Roman"/>
          <w:sz w:val="24"/>
          <w:szCs w:val="24"/>
          <w:lang w:eastAsia="ru-RU"/>
        </w:rPr>
        <w:tab/>
        <w:t>Проверка исполнения Планов корректирующих мероприятий, утвержденных по результатам ревизионных проверок Общества за предыдущие годы.</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6. Иные вопросы.</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 xml:space="preserve">Заключение Ревизионной комиссии утверждено Ревизионной комиссией АО «Чеченэнерго» (протокол от 21.04.2023 № 3), согласно которому Ревизионная комиссия в соответствии со статьей 88 Федерального закона от 26.12.1995 № 208-ФЗ «Об акционерных обществах» выражает мнение о достоверности данных во всех существенных отношениях, </w:t>
      </w:r>
      <w:r w:rsidRPr="00B369F9">
        <w:rPr>
          <w:rFonts w:ascii="Times New Roman" w:eastAsia="MS Mincho" w:hAnsi="Times New Roman" w:cs="Times New Roman"/>
          <w:sz w:val="24"/>
          <w:szCs w:val="24"/>
          <w:lang w:eastAsia="ru-RU"/>
        </w:rPr>
        <w:lastRenderedPageBreak/>
        <w:t>содержащихся в годовом отчете Общества за 2022 год и в годовой бухгалтерской (финансовой) отчетности Общества за 2022 год.</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Не изменяя мнения о достоверности Отчетности, Ревизионная комиссия обращает внимание, что стоимость чистых активов (строка 3600 Отчета об изменении капитала за 2022 год) по состоянию на 31.12.2022, 31.12.2021, 30.12.2020 меньше уставного капитала Общества.</w:t>
      </w:r>
    </w:p>
    <w:p w:rsidR="00F40112" w:rsidRPr="00B369F9" w:rsidRDefault="00F40112" w:rsidP="00F40112">
      <w:pPr>
        <w:spacing w:after="0" w:line="240" w:lineRule="auto"/>
        <w:ind w:right="-143" w:firstLine="709"/>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В 2023 году действовало два состава Ревизионной комиссии.</w:t>
      </w:r>
    </w:p>
    <w:p w:rsidR="007008D7" w:rsidRPr="00B369F9" w:rsidRDefault="00F40112" w:rsidP="00F40112">
      <w:pPr>
        <w:spacing w:after="0" w:line="240" w:lineRule="auto"/>
        <w:ind w:right="-143"/>
        <w:contextualSpacing/>
        <w:jc w:val="both"/>
        <w:rPr>
          <w:rFonts w:ascii="Times New Roman" w:eastAsia="MS Mincho" w:hAnsi="Times New Roman" w:cs="Times New Roman"/>
          <w:sz w:val="24"/>
          <w:szCs w:val="24"/>
          <w:lang w:eastAsia="ru-RU"/>
        </w:rPr>
      </w:pPr>
      <w:r w:rsidRPr="00B369F9">
        <w:rPr>
          <w:rFonts w:ascii="Times New Roman" w:eastAsia="MS Mincho" w:hAnsi="Times New Roman" w:cs="Times New Roman"/>
          <w:sz w:val="24"/>
          <w:szCs w:val="24"/>
          <w:lang w:eastAsia="ru-RU"/>
        </w:rPr>
        <w:tab/>
        <w:t>В соответствии с Уставом количественный состав Ревизионной комиссии Общества составляет 3 человека.</w:t>
      </w:r>
    </w:p>
    <w:p w:rsidR="00F40112" w:rsidRPr="00B369F9" w:rsidRDefault="00F40112" w:rsidP="00F40112">
      <w:pPr>
        <w:spacing w:after="0" w:line="240" w:lineRule="auto"/>
        <w:ind w:right="-143"/>
        <w:contextualSpacing/>
        <w:jc w:val="both"/>
        <w:rPr>
          <w:rFonts w:ascii="Times New Roman" w:eastAsia="MS Mincho" w:hAnsi="Times New Roman" w:cs="Times New Roman"/>
          <w:sz w:val="24"/>
          <w:szCs w:val="24"/>
          <w:lang w:eastAsia="ru-RU"/>
        </w:rPr>
      </w:pPr>
    </w:p>
    <w:p w:rsidR="002F30FC" w:rsidRPr="00B369F9" w:rsidRDefault="002F30FC" w:rsidP="002F30FC">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Действующий персональный состав Ревизионной комиссии Общества,</w:t>
      </w:r>
    </w:p>
    <w:p w:rsidR="002F30FC" w:rsidRPr="00B369F9" w:rsidRDefault="002F30FC" w:rsidP="002F30FC">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избранный на годовом Общем собрании акционеров 06.06.2023</w:t>
      </w:r>
    </w:p>
    <w:p w:rsidR="002F30FC" w:rsidRPr="00B369F9" w:rsidRDefault="002F30FC" w:rsidP="002F30FC">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(протокол от 07.06.2023 № 27)</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253"/>
        <w:gridCol w:w="6095"/>
      </w:tblGrid>
      <w:tr w:rsidR="00B42B37" w:rsidRPr="007C4552" w:rsidTr="009C25EB">
        <w:trPr>
          <w:tblHeader/>
        </w:trPr>
        <w:tc>
          <w:tcPr>
            <w:tcW w:w="4253" w:type="dxa"/>
            <w:shd w:val="clear" w:color="auto" w:fill="auto"/>
            <w:tcMar>
              <w:top w:w="30" w:type="dxa"/>
              <w:left w:w="75" w:type="dxa"/>
              <w:bottom w:w="30" w:type="dxa"/>
              <w:right w:w="75" w:type="dxa"/>
            </w:tcMar>
            <w:vAlign w:val="center"/>
            <w:hideMark/>
          </w:tcPr>
          <w:p w:rsidR="00B42B37" w:rsidRPr="007C4552" w:rsidRDefault="00B42B37" w:rsidP="00B42B37">
            <w:pPr>
              <w:spacing w:after="0" w:line="240" w:lineRule="auto"/>
              <w:jc w:val="both"/>
              <w:rPr>
                <w:rFonts w:ascii="Times New Roman" w:eastAsia="Times New Roman" w:hAnsi="Times New Roman" w:cs="Times New Roman"/>
                <w:b/>
                <w:bCs/>
                <w:sz w:val="20"/>
                <w:szCs w:val="20"/>
                <w:lang w:eastAsia="ru-RU"/>
              </w:rPr>
            </w:pPr>
            <w:r w:rsidRPr="007C4552">
              <w:rPr>
                <w:rFonts w:ascii="Times New Roman" w:hAnsi="Times New Roman" w:cs="Times New Roman"/>
                <w:b/>
                <w:sz w:val="20"/>
                <w:szCs w:val="20"/>
              </w:rPr>
              <w:t>Ф.И.О., Должность  на момент выдвижения</w:t>
            </w:r>
          </w:p>
        </w:tc>
        <w:tc>
          <w:tcPr>
            <w:tcW w:w="6095" w:type="dxa"/>
            <w:shd w:val="clear" w:color="auto" w:fill="auto"/>
            <w:tcMar>
              <w:top w:w="30" w:type="dxa"/>
              <w:left w:w="75" w:type="dxa"/>
              <w:bottom w:w="30" w:type="dxa"/>
              <w:right w:w="75" w:type="dxa"/>
            </w:tcMar>
            <w:vAlign w:val="center"/>
            <w:hideMark/>
          </w:tcPr>
          <w:p w:rsidR="00B42B37" w:rsidRPr="007C4552" w:rsidRDefault="006311D0" w:rsidP="00B42B37">
            <w:pPr>
              <w:spacing w:after="0" w:line="240" w:lineRule="auto"/>
              <w:jc w:val="both"/>
              <w:rPr>
                <w:rFonts w:ascii="Times New Roman" w:eastAsia="Times New Roman" w:hAnsi="Times New Roman" w:cs="Times New Roman"/>
                <w:b/>
                <w:bCs/>
                <w:sz w:val="20"/>
                <w:szCs w:val="20"/>
                <w:lang w:eastAsia="ru-RU"/>
              </w:rPr>
            </w:pPr>
            <w:r w:rsidRPr="007C4552">
              <w:rPr>
                <w:rFonts w:ascii="Times New Roman" w:hAnsi="Times New Roman" w:cs="Times New Roman"/>
                <w:b/>
                <w:sz w:val="20"/>
                <w:szCs w:val="20"/>
              </w:rPr>
              <w:t>Год</w:t>
            </w:r>
            <w:r w:rsidR="00B42B37" w:rsidRPr="007C4552">
              <w:rPr>
                <w:rFonts w:ascii="Times New Roman" w:hAnsi="Times New Roman" w:cs="Times New Roman"/>
                <w:b/>
                <w:sz w:val="20"/>
                <w:szCs w:val="20"/>
              </w:rPr>
              <w:t xml:space="preserve"> рождения, гражданство, образование</w:t>
            </w:r>
          </w:p>
        </w:tc>
      </w:tr>
      <w:tr w:rsidR="004D3891" w:rsidRPr="007C4552" w:rsidTr="009C25EB">
        <w:tc>
          <w:tcPr>
            <w:tcW w:w="4253"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Ульянов Антон Сергеевич,</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«Россети»</w:t>
            </w:r>
          </w:p>
        </w:tc>
        <w:tc>
          <w:tcPr>
            <w:tcW w:w="6095"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Год рождения: 1979</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Образование: Высшее, ГОУВПО «Московская государственная юридическая академия», квалификация «Юрист», год окончания –2004.</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Ассоциация «Институт внутренних аудиторов», профессиональная переподготовка, Аудитор-консультант, год окончания – 2021.</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ООО Учебный центр «ИВА», профессиональная переподготовка, «Внутренний аудитор», Уровень «Профессионал», год окончания – 2021.</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ООО «КУМЦ АПР», профессиональная переподготовка, Руководитель самостоятельного подразделения внутреннего контроля. Профстандарт «Специалист по внутреннему контролю (внутренний контролер). Уровень 7», год окончания – 2021.</w:t>
            </w:r>
          </w:p>
        </w:tc>
      </w:tr>
      <w:tr w:rsidR="004D3891" w:rsidRPr="007C4552" w:rsidTr="009C25EB">
        <w:tc>
          <w:tcPr>
            <w:tcW w:w="4253"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Ипполитова Оксана Вячеславовна,</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Главный эксперт управления операционного аудита Департамента внутреннего аудита ПАО «Россети»</w:t>
            </w:r>
          </w:p>
        </w:tc>
        <w:tc>
          <w:tcPr>
            <w:tcW w:w="6095"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Год рождения: 1971</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Образование: Высшее, Финансовая академия при Правительстве Российской Федерации, специальность «Финансы и кредит», год окончания – 1994.</w:t>
            </w:r>
          </w:p>
        </w:tc>
      </w:tr>
      <w:tr w:rsidR="004D3891" w:rsidRPr="007C4552" w:rsidTr="009C25EB">
        <w:tc>
          <w:tcPr>
            <w:tcW w:w="4253" w:type="dxa"/>
            <w:shd w:val="clear" w:color="auto" w:fill="auto"/>
            <w:tcMar>
              <w:top w:w="30" w:type="dxa"/>
              <w:left w:w="75" w:type="dxa"/>
              <w:bottom w:w="30" w:type="dxa"/>
              <w:right w:w="75" w:type="dxa"/>
            </w:tcMar>
            <w:vAlign w:val="center"/>
            <w:hideMark/>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Цыганова Наталья Александровна,</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Главный эксперт управления корпоративного аудита и контроля ДО Департамента внутреннего аудита ПАО «Россети»</w:t>
            </w:r>
          </w:p>
        </w:tc>
        <w:tc>
          <w:tcPr>
            <w:tcW w:w="6095" w:type="dxa"/>
            <w:shd w:val="clear" w:color="auto" w:fill="auto"/>
            <w:tcMar>
              <w:top w:w="30" w:type="dxa"/>
              <w:left w:w="75" w:type="dxa"/>
              <w:bottom w:w="30" w:type="dxa"/>
              <w:right w:w="75" w:type="dxa"/>
            </w:tcMar>
            <w:vAlign w:val="center"/>
            <w:hideMark/>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Год рождения: 1980</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Образование: Высшее, Московская академия предпринимательства при Правительстве г. Москвы, специальность «Юриспруденция», год окончания – 2003.</w:t>
            </w:r>
          </w:p>
        </w:tc>
      </w:tr>
    </w:tbl>
    <w:p w:rsidR="002F30FC" w:rsidRPr="00B369F9" w:rsidRDefault="002F30FC" w:rsidP="00467B14">
      <w:pPr>
        <w:tabs>
          <w:tab w:val="left" w:pos="993"/>
        </w:tabs>
        <w:spacing w:after="0" w:line="240" w:lineRule="auto"/>
        <w:ind w:right="-142"/>
        <w:contextualSpacing/>
        <w:jc w:val="both"/>
        <w:rPr>
          <w:rFonts w:ascii="Times New Roman" w:hAnsi="Times New Roman" w:cs="Times New Roman"/>
          <w:sz w:val="24"/>
          <w:szCs w:val="24"/>
        </w:rPr>
      </w:pPr>
    </w:p>
    <w:p w:rsidR="00467B14" w:rsidRPr="00B369F9" w:rsidRDefault="002F30FC" w:rsidP="00467B14">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П</w:t>
      </w:r>
      <w:r w:rsidR="00467B14" w:rsidRPr="00B369F9">
        <w:rPr>
          <w:rFonts w:ascii="Times New Roman" w:eastAsia="Calibri" w:hAnsi="Times New Roman" w:cs="Times New Roman"/>
          <w:b/>
          <w:sz w:val="24"/>
          <w:szCs w:val="24"/>
        </w:rPr>
        <w:t>ерсональный состав Ревизионной комиссии Общества,</w:t>
      </w:r>
    </w:p>
    <w:p w:rsidR="00467B14" w:rsidRPr="00B369F9" w:rsidRDefault="00467B14" w:rsidP="00467B14">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избранный на годовом Общем собрании акционеров 22.06.2022</w:t>
      </w:r>
    </w:p>
    <w:p w:rsidR="00467B14" w:rsidRPr="00B369F9" w:rsidRDefault="00467B14" w:rsidP="00467B14">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(протокол от 22.06.2022 № 25)</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253"/>
        <w:gridCol w:w="6095"/>
      </w:tblGrid>
      <w:tr w:rsidR="001E4C64" w:rsidRPr="007C4552" w:rsidTr="009C25EB">
        <w:trPr>
          <w:tblHeader/>
        </w:trPr>
        <w:tc>
          <w:tcPr>
            <w:tcW w:w="4253" w:type="dxa"/>
            <w:shd w:val="clear" w:color="auto" w:fill="auto"/>
            <w:tcMar>
              <w:top w:w="30" w:type="dxa"/>
              <w:left w:w="75" w:type="dxa"/>
              <w:bottom w:w="30" w:type="dxa"/>
              <w:right w:w="75" w:type="dxa"/>
            </w:tcMar>
            <w:vAlign w:val="center"/>
            <w:hideMark/>
          </w:tcPr>
          <w:p w:rsidR="001E4C64" w:rsidRPr="007C4552" w:rsidRDefault="001E4C64" w:rsidP="001E4C64">
            <w:pPr>
              <w:spacing w:after="0" w:line="240" w:lineRule="auto"/>
              <w:jc w:val="both"/>
              <w:rPr>
                <w:rFonts w:ascii="Times New Roman" w:eastAsia="Times New Roman" w:hAnsi="Times New Roman" w:cs="Times New Roman"/>
                <w:b/>
                <w:bCs/>
                <w:sz w:val="20"/>
                <w:szCs w:val="20"/>
                <w:lang w:eastAsia="ru-RU"/>
              </w:rPr>
            </w:pPr>
            <w:r w:rsidRPr="007C4552">
              <w:rPr>
                <w:rFonts w:ascii="Times New Roman" w:hAnsi="Times New Roman" w:cs="Times New Roman"/>
                <w:b/>
                <w:sz w:val="20"/>
                <w:szCs w:val="20"/>
              </w:rPr>
              <w:t>Ф.И.О., Должность  на момент выдвижения</w:t>
            </w:r>
          </w:p>
        </w:tc>
        <w:tc>
          <w:tcPr>
            <w:tcW w:w="6095" w:type="dxa"/>
            <w:shd w:val="clear" w:color="auto" w:fill="auto"/>
            <w:tcMar>
              <w:top w:w="30" w:type="dxa"/>
              <w:left w:w="75" w:type="dxa"/>
              <w:bottom w:w="30" w:type="dxa"/>
              <w:right w:w="75" w:type="dxa"/>
            </w:tcMar>
            <w:vAlign w:val="center"/>
            <w:hideMark/>
          </w:tcPr>
          <w:p w:rsidR="001E4C64" w:rsidRPr="007C4552" w:rsidRDefault="006311D0" w:rsidP="001E4C64">
            <w:pPr>
              <w:spacing w:after="0" w:line="240" w:lineRule="auto"/>
              <w:jc w:val="both"/>
              <w:rPr>
                <w:rFonts w:ascii="Times New Roman" w:eastAsia="Times New Roman" w:hAnsi="Times New Roman" w:cs="Times New Roman"/>
                <w:b/>
                <w:bCs/>
                <w:sz w:val="20"/>
                <w:szCs w:val="20"/>
                <w:lang w:eastAsia="ru-RU"/>
              </w:rPr>
            </w:pPr>
            <w:r w:rsidRPr="007C4552">
              <w:rPr>
                <w:rFonts w:ascii="Times New Roman" w:hAnsi="Times New Roman" w:cs="Times New Roman"/>
                <w:b/>
                <w:sz w:val="20"/>
                <w:szCs w:val="20"/>
              </w:rPr>
              <w:t>Год</w:t>
            </w:r>
            <w:r w:rsidR="001E4C64" w:rsidRPr="007C4552">
              <w:rPr>
                <w:rFonts w:ascii="Times New Roman" w:hAnsi="Times New Roman" w:cs="Times New Roman"/>
                <w:b/>
                <w:sz w:val="20"/>
                <w:szCs w:val="20"/>
              </w:rPr>
              <w:t xml:space="preserve"> рождения, гражданство, образование</w:t>
            </w:r>
          </w:p>
        </w:tc>
      </w:tr>
      <w:tr w:rsidR="004D3891" w:rsidRPr="007C4552" w:rsidTr="009C25EB">
        <w:tc>
          <w:tcPr>
            <w:tcW w:w="4253"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Ковалева Светлана Николаевна,</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Директор по внутреннему аудиту – начальник Департамента внутреннего аудита ПАО «Россети»</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p>
        </w:tc>
        <w:tc>
          <w:tcPr>
            <w:tcW w:w="6095" w:type="dxa"/>
            <w:shd w:val="clear" w:color="auto" w:fill="auto"/>
            <w:tcMar>
              <w:top w:w="30" w:type="dxa"/>
              <w:left w:w="75" w:type="dxa"/>
              <w:bottom w:w="30" w:type="dxa"/>
              <w:right w:w="75" w:type="dxa"/>
            </w:tcMa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Год рождения: 1980</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Образование: Высшее, Академия гражданской авиации, специальность «Юриспруденция», юрист, год окончания – 2002.</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ФГБОУ ВО «НИУ «МЭИ», «Производственный менеджмент и управление проектами», год окончания – 2019.</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Саморегулируемая организация аудиторов «Российский союз аудиторов» (Ассоциация), «Учебно-методический центр Российского союза аудиторов «Интрекон-интеллект», квалификация – «Профессиональный внутренний аудитор», год окончания - 2017.</w:t>
            </w:r>
          </w:p>
        </w:tc>
      </w:tr>
      <w:tr w:rsidR="004D3891" w:rsidRPr="007C4552" w:rsidTr="009C25EB">
        <w:tc>
          <w:tcPr>
            <w:tcW w:w="4253" w:type="dxa"/>
            <w:shd w:val="clear" w:color="auto" w:fill="auto"/>
            <w:tcMar>
              <w:top w:w="30" w:type="dxa"/>
              <w:left w:w="75" w:type="dxa"/>
              <w:bottom w:w="30" w:type="dxa"/>
              <w:right w:w="75" w:type="dxa"/>
            </w:tcMar>
            <w:vAlign w:val="cente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Кабизьскина Елена Александровна,</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lastRenderedPageBreak/>
              <w:t>Главный эксперт Управления корпоративного аудита и контроля ДО Департамента внутреннего аудита ПАО «Россети»</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p>
        </w:tc>
        <w:tc>
          <w:tcPr>
            <w:tcW w:w="6095" w:type="dxa"/>
            <w:shd w:val="clear" w:color="auto" w:fill="auto"/>
            <w:tcMar>
              <w:top w:w="30" w:type="dxa"/>
              <w:left w:w="75" w:type="dxa"/>
              <w:bottom w:w="30" w:type="dxa"/>
              <w:right w:w="75" w:type="dxa"/>
            </w:tcMar>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lastRenderedPageBreak/>
              <w:t>Год рождения: 1964</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lastRenderedPageBreak/>
              <w:t>Образование: Высшее, Дальневосточный технический институт рыбной промышленности, инженер-экономист, специальность «Экономика и организация промышленности продовольственных товаров», год окончания – 1986.</w:t>
            </w:r>
          </w:p>
        </w:tc>
      </w:tr>
      <w:tr w:rsidR="004D3891" w:rsidRPr="007C4552" w:rsidTr="009C25EB">
        <w:tc>
          <w:tcPr>
            <w:tcW w:w="4253" w:type="dxa"/>
            <w:shd w:val="clear" w:color="auto" w:fill="auto"/>
            <w:tcMar>
              <w:top w:w="30" w:type="dxa"/>
              <w:left w:w="75" w:type="dxa"/>
              <w:bottom w:w="30" w:type="dxa"/>
              <w:right w:w="75" w:type="dxa"/>
            </w:tcMar>
            <w:vAlign w:val="center"/>
            <w:hideMark/>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lastRenderedPageBreak/>
              <w:t>Никифорова Юлия Васильевна,</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Главный эксперт Управления контроля финансовой устойчивости контрагентов, сопровождения процедур ликвидации и банкротства Департамента внутреннего контроля и управления рисками ПАО «Россети»</w:t>
            </w:r>
          </w:p>
        </w:tc>
        <w:tc>
          <w:tcPr>
            <w:tcW w:w="6095" w:type="dxa"/>
            <w:shd w:val="clear" w:color="auto" w:fill="auto"/>
            <w:tcMar>
              <w:top w:w="30" w:type="dxa"/>
              <w:left w:w="75" w:type="dxa"/>
              <w:bottom w:w="30" w:type="dxa"/>
              <w:right w:w="75" w:type="dxa"/>
            </w:tcMar>
            <w:hideMark/>
          </w:tcPr>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Год рождения: 1976</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Гражданство: Российская Федерация</w:t>
            </w:r>
          </w:p>
          <w:p w:rsidR="004D3891" w:rsidRPr="007C4552" w:rsidRDefault="004D3891" w:rsidP="004D3891">
            <w:pPr>
              <w:spacing w:after="0" w:line="240" w:lineRule="auto"/>
              <w:jc w:val="both"/>
              <w:rPr>
                <w:rFonts w:ascii="Times New Roman" w:eastAsia="Times New Roman" w:hAnsi="Times New Roman" w:cs="Times New Roman"/>
                <w:sz w:val="20"/>
                <w:szCs w:val="20"/>
                <w:lang w:eastAsia="ru-RU"/>
              </w:rPr>
            </w:pPr>
            <w:r w:rsidRPr="007C4552">
              <w:rPr>
                <w:rFonts w:ascii="Times New Roman" w:eastAsia="Times New Roman" w:hAnsi="Times New Roman" w:cs="Times New Roman"/>
                <w:sz w:val="20"/>
                <w:szCs w:val="20"/>
                <w:lang w:eastAsia="ru-RU"/>
              </w:rPr>
              <w:t>Образование: Высшее, Институт «Высшие Столыпинские курсы государственного права и управления», квалификация – юрист по специальности «Юриспруденция», год окончания – 2000.</w:t>
            </w:r>
          </w:p>
        </w:tc>
      </w:tr>
    </w:tbl>
    <w:p w:rsidR="00467B14" w:rsidRPr="00B369F9" w:rsidRDefault="00467B14" w:rsidP="00467B14">
      <w:pPr>
        <w:tabs>
          <w:tab w:val="left" w:pos="993"/>
        </w:tabs>
        <w:spacing w:after="0" w:line="240" w:lineRule="auto"/>
        <w:ind w:right="-142"/>
        <w:contextualSpacing/>
        <w:jc w:val="both"/>
        <w:rPr>
          <w:rFonts w:ascii="Times New Roman" w:hAnsi="Times New Roman" w:cs="Times New Roman"/>
          <w:sz w:val="24"/>
          <w:szCs w:val="24"/>
        </w:rPr>
      </w:pPr>
    </w:p>
    <w:p w:rsidR="00F25CAA" w:rsidRPr="00B369F9" w:rsidRDefault="00F25CAA" w:rsidP="007C7C02">
      <w:pPr>
        <w:pStyle w:val="af8"/>
        <w:ind w:left="0" w:right="-143" w:firstLine="709"/>
        <w:contextualSpacing/>
        <w:jc w:val="both"/>
        <w:rPr>
          <w:rFonts w:ascii="Times New Roman" w:hAnsi="Times New Roman" w:cs="Times New Roman"/>
          <w:b/>
          <w:sz w:val="24"/>
          <w:szCs w:val="24"/>
        </w:rPr>
      </w:pPr>
      <w:r w:rsidRPr="00B369F9">
        <w:rPr>
          <w:rFonts w:ascii="Times New Roman" w:hAnsi="Times New Roman" w:cs="Times New Roman"/>
          <w:b/>
          <w:sz w:val="24"/>
          <w:szCs w:val="24"/>
        </w:rPr>
        <w:t>Вознаграждение членов Ревизионной комиссии (система вознаграждения, размер вознаграждения)</w:t>
      </w:r>
    </w:p>
    <w:p w:rsidR="00F25CAA" w:rsidRPr="00B369F9" w:rsidRDefault="00F25CAA" w:rsidP="007C7C02">
      <w:pPr>
        <w:spacing w:after="0" w:line="240" w:lineRule="auto"/>
        <w:ind w:firstLine="709"/>
        <w:jc w:val="both"/>
        <w:rPr>
          <w:rFonts w:ascii="Times New Roman" w:eastAsia="Calibri" w:hAnsi="Times New Roman" w:cs="Times New Roman"/>
          <w:sz w:val="24"/>
          <w:szCs w:val="24"/>
        </w:rPr>
      </w:pPr>
    </w:p>
    <w:p w:rsidR="00467B14" w:rsidRPr="00B369F9" w:rsidRDefault="00467B14" w:rsidP="00467B14">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Размер и порядок выплаты вознаграждений и компенсации расходов членам Ревизионной комиссии АО «Чеченэнерго» в отчетном периоде определялись в соответствии с</w:t>
      </w:r>
      <w:r w:rsidRPr="00B369F9" w:rsidDel="00832DDD">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 xml:space="preserve">Положением о выплате членам Ревизионной комиссии АО «Чеченэнерго» вознаграждений и компенсаций, утвержденным решением годового Общего собрания акционеров АО «Чеченэнерго» </w:t>
      </w:r>
      <w:r w:rsidR="003D54FA" w:rsidRPr="003D54FA">
        <w:rPr>
          <w:rFonts w:ascii="Times New Roman" w:eastAsia="Calibri" w:hAnsi="Times New Roman" w:cs="Times New Roman"/>
          <w:sz w:val="24"/>
          <w:szCs w:val="24"/>
        </w:rPr>
        <w:t xml:space="preserve">01.06.2018 </w:t>
      </w:r>
      <w:r w:rsidRPr="00B369F9">
        <w:rPr>
          <w:rFonts w:ascii="Times New Roman" w:eastAsia="Calibri" w:hAnsi="Times New Roman" w:cs="Times New Roman"/>
          <w:sz w:val="24"/>
          <w:szCs w:val="24"/>
        </w:rPr>
        <w:t>(протокол от 04.06.2018 № 18).</w:t>
      </w:r>
    </w:p>
    <w:p w:rsidR="00B45624" w:rsidRPr="00B369F9" w:rsidRDefault="00B45624"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Вознаграждение выплачивается члену Ревизионной комиссии Общества по итогам работы за корпоративный год и зависит от степени его участия в работе Ревизионной комиссии.</w:t>
      </w:r>
    </w:p>
    <w:p w:rsidR="00B45624" w:rsidRPr="00B369F9" w:rsidRDefault="00B45624"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Вознаграждение члену Ревизионной комиссии определяется от базовой части вознаграждения. Базовое вознаграждение члену Ревизионной комиссии устанавливается исходя из выручки Общества, рассчитанной по РСБУ за финансовый год, согласно шкалы размера выручки. </w:t>
      </w:r>
    </w:p>
    <w:p w:rsidR="00B45624" w:rsidRPr="00B369F9" w:rsidRDefault="00B45624"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Также учитывается коэффициент личного участия, который отражает участие члена Ревизионной комиссии в заседаниях Ревизионной комиссии, а также исполнение им дополнительных обязанностей в качестве Председателя или секретаря Ревизионной комиссии. Члену Ревизионной комиссии, не принявшему участие в более чем половине заседаний, состоявшихся в период его членства в Ревизионной комиссии, вознаграждение не выплачивается. В случае если член Ревизионной комиссии в корпоративном году принимал активное участие в дополнительных проверках Ревизионной комиссии или контрольных мероприятиях по отдельным вопросам, проведенных по решению Общего собрания акционеров, Совета директоров Общества или по требованию акционера (акционеров) Общества, владеющего в совокупности не менее чем 10 % голосующих акций Общества, Председатель Ревизионной комиссии вправе ходатайствовать перед Общим собранием акционеров об увеличении фактического размера вознаграждения.</w:t>
      </w:r>
    </w:p>
    <w:p w:rsidR="00B45624" w:rsidRPr="00B369F9" w:rsidRDefault="00B45624"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Членам Ревизионной комиссии, на которых не распространяются ограничения или запрет на получение каких-либо выплат от коммерческих организаций в соответствии с федеральными законами, в случае посещения объектов Общества, участия в заседаниях Ревизионной комиссии Общества, проводимых по месту фактического нахождения Общества, а также выполнения иных задач Ревизионной комиссии Общества Общество производит компенсацию документально подтвержденных расходов, связанных с участием в мероприятиях Ревизионной комиссии Общества.</w:t>
      </w:r>
    </w:p>
    <w:p w:rsidR="00B45624" w:rsidRPr="00B369F9" w:rsidRDefault="00B45624"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Текст указанного положения доступен на корпоративном сайте АО «Чеченэнерго» в разделе «Акционерам и инвесторам / Устав и внутренние документы/ Документы процедур корпоративного управления».</w:t>
      </w:r>
    </w:p>
    <w:p w:rsidR="00B45624" w:rsidRPr="00B369F9" w:rsidRDefault="000B459F" w:rsidP="007C7C02">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2023 году произведены выплаты членам Ревизионной комиссии в размере 385 тыс. руб.</w:t>
      </w:r>
    </w:p>
    <w:p w:rsidR="00B45624" w:rsidRPr="00B369F9" w:rsidRDefault="00B45624" w:rsidP="007C7C02">
      <w:pPr>
        <w:tabs>
          <w:tab w:val="left" w:pos="993"/>
        </w:tabs>
        <w:spacing w:after="0" w:line="240" w:lineRule="auto"/>
        <w:ind w:right="-142"/>
        <w:contextualSpacing/>
        <w:jc w:val="both"/>
        <w:rPr>
          <w:rFonts w:ascii="Times New Roman" w:hAnsi="Times New Roman" w:cs="Times New Roman"/>
          <w:sz w:val="24"/>
          <w:szCs w:val="24"/>
        </w:rPr>
      </w:pPr>
    </w:p>
    <w:p w:rsidR="003F39BC" w:rsidRPr="00B369F9" w:rsidRDefault="003F39BC" w:rsidP="005B2B61">
      <w:pPr>
        <w:pStyle w:val="1"/>
        <w:ind w:firstLine="709"/>
        <w:rPr>
          <w:rFonts w:eastAsia="Calibri"/>
          <w:bCs w:val="0"/>
          <w:lang w:eastAsia="en-US"/>
        </w:rPr>
      </w:pPr>
      <w:bookmarkStart w:id="50" w:name="_Toc473537030"/>
      <w:bookmarkStart w:id="51" w:name="_Toc163738885"/>
      <w:r w:rsidRPr="00B369F9">
        <w:rPr>
          <w:rFonts w:eastAsia="Calibri"/>
          <w:bCs w:val="0"/>
          <w:lang w:eastAsia="en-US"/>
        </w:rPr>
        <w:lastRenderedPageBreak/>
        <w:t>Внешний аудитор</w:t>
      </w:r>
      <w:bookmarkEnd w:id="50"/>
      <w:bookmarkEnd w:id="51"/>
    </w:p>
    <w:p w:rsidR="004159A8" w:rsidRPr="00B369F9" w:rsidRDefault="004159A8" w:rsidP="00126221">
      <w:pPr>
        <w:shd w:val="clear" w:color="auto" w:fill="FFFFFF" w:themeFill="background1"/>
        <w:spacing w:after="0" w:line="240" w:lineRule="auto"/>
        <w:ind w:firstLine="709"/>
        <w:jc w:val="both"/>
        <w:rPr>
          <w:rFonts w:ascii="Times New Roman" w:eastAsia="Calibri" w:hAnsi="Times New Roman" w:cs="Times New Roman"/>
          <w:sz w:val="24"/>
          <w:szCs w:val="24"/>
        </w:rPr>
      </w:pPr>
      <w:bookmarkStart w:id="52" w:name="_Toc473537032"/>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Полное фирменное наименование: Общество с ограниченной ответственностью «ЦЕНТР АУДИТОРСКИХ ТЕХНОЛОГИЙ И РЕШЕНИЙ - АУДИТОРСКИЕ УСЛУГИ»</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Сокращенное фирменное наименование: ООО «ЦАТР-АУДИТОРСКИЕ УСЛУГИ»</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ИНН: 7709383532 ОГРН: 1027739707203</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Место нахождения: 115035, г. Москва, Садовническая набережная, д. 77, стр. 1</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Адрес в с</w:t>
      </w:r>
      <w:r w:rsidR="0054396C" w:rsidRPr="00B369F9">
        <w:rPr>
          <w:rFonts w:ascii="Times New Roman" w:eastAsia="Calibri" w:hAnsi="Times New Roman" w:cs="Times New Roman"/>
          <w:sz w:val="24"/>
          <w:szCs w:val="24"/>
        </w:rPr>
        <w:t xml:space="preserve">ети Интернет: </w:t>
      </w:r>
      <w:hyperlink r:id="rId38" w:history="1">
        <w:r w:rsidR="0054396C" w:rsidRPr="00B369F9">
          <w:rPr>
            <w:rStyle w:val="af4"/>
            <w:rFonts w:ascii="Times New Roman" w:eastAsia="Calibri" w:hAnsi="Times New Roman" w:cs="Times New Roman"/>
            <w:sz w:val="24"/>
            <w:szCs w:val="24"/>
          </w:rPr>
          <w:t>https://www.b1.ru</w:t>
        </w:r>
      </w:hyperlink>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Адрес электронной почты: </w:t>
      </w:r>
      <w:hyperlink r:id="rId39" w:history="1">
        <w:r w:rsidR="0054396C" w:rsidRPr="00B369F9">
          <w:rPr>
            <w:rStyle w:val="af4"/>
            <w:rFonts w:ascii="Times New Roman" w:eastAsia="Calibri" w:hAnsi="Times New Roman" w:cs="Times New Roman"/>
            <w:sz w:val="24"/>
            <w:szCs w:val="24"/>
          </w:rPr>
          <w:t>info@b1.ru</w:t>
        </w:r>
      </w:hyperlink>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Телефон приемной/факс: (495) 755-97-00/755-97-01</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ООО «ЦАТР-АУДИТОРСКИЕ УСЛУГИ» является членом саморегулируемой организации аудиторов Ассоциация «Содружество» (СРО ААС). Запись в Реестр аудиторов и ауд</w:t>
      </w:r>
      <w:r w:rsidR="00C344F5" w:rsidRPr="00B369F9">
        <w:rPr>
          <w:rFonts w:ascii="Times New Roman" w:eastAsia="Calibri" w:hAnsi="Times New Roman" w:cs="Times New Roman"/>
          <w:sz w:val="24"/>
          <w:szCs w:val="24"/>
        </w:rPr>
        <w:t>иторских организаций внесена 31.01.</w:t>
      </w:r>
      <w:r w:rsidRPr="00B369F9">
        <w:rPr>
          <w:rFonts w:ascii="Times New Roman" w:eastAsia="Calibri" w:hAnsi="Times New Roman" w:cs="Times New Roman"/>
          <w:sz w:val="24"/>
          <w:szCs w:val="24"/>
        </w:rPr>
        <w:t>2020 за ОРНЗ 12006020327.</w:t>
      </w:r>
    </w:p>
    <w:p w:rsidR="003F2617" w:rsidRPr="00B369F9" w:rsidRDefault="003F2617" w:rsidP="001D2BFB">
      <w:pPr>
        <w:shd w:val="clear" w:color="auto" w:fill="FFFFFF" w:themeFill="background1"/>
        <w:spacing w:after="0" w:line="240" w:lineRule="auto"/>
        <w:ind w:firstLine="709"/>
        <w:jc w:val="both"/>
        <w:rPr>
          <w:rFonts w:ascii="Times New Roman" w:eastAsia="Calibri" w:hAnsi="Times New Roman" w:cs="Times New Roman"/>
          <w:b/>
          <w:sz w:val="24"/>
          <w:szCs w:val="24"/>
        </w:rPr>
      </w:pP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b/>
          <w:sz w:val="24"/>
          <w:szCs w:val="24"/>
        </w:rPr>
      </w:pPr>
      <w:r w:rsidRPr="00B369F9">
        <w:rPr>
          <w:rFonts w:ascii="Times New Roman" w:eastAsia="Calibri" w:hAnsi="Times New Roman" w:cs="Times New Roman"/>
          <w:b/>
          <w:sz w:val="24"/>
          <w:szCs w:val="24"/>
        </w:rPr>
        <w:t>Процедура выбора аудитора</w:t>
      </w:r>
    </w:p>
    <w:p w:rsidR="003F2617" w:rsidRPr="00B369F9" w:rsidRDefault="003F2617" w:rsidP="001D2BFB">
      <w:pPr>
        <w:shd w:val="clear" w:color="auto" w:fill="FFFFFF" w:themeFill="background1"/>
        <w:spacing w:after="0" w:line="240" w:lineRule="auto"/>
        <w:ind w:firstLine="709"/>
        <w:jc w:val="both"/>
        <w:rPr>
          <w:rFonts w:ascii="Times New Roman" w:eastAsia="Calibri" w:hAnsi="Times New Roman" w:cs="Times New Roman"/>
          <w:b/>
          <w:sz w:val="24"/>
          <w:szCs w:val="24"/>
        </w:rPr>
      </w:pP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ООО «ЦАТР – АУДИТОРСКИЕ УСЛУГИ» признано победителем проведенного открытого двухэтапного конкурса (протокол заседания Конкурсной комиссии от 24.04.2023 № 3/58). Кандидатура аудитора эмитента определяется в результате конкурсного отбора аудитора эмитентом. </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Для участия в конкурсе аудиторские организации должны удовлетворять следующим требованиям:</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обладать гражданской правоспособностью в полном объеме для заключения и исполнения Договора;</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не находиться в процессе ликвидации;</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не быть включенным в Реестр недобросовестных поставщиков;</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у участника должна отсутствовать недоимки по налогам, сборам, задолженности по иным обязательным платежам в бюджеты бюджетной системы Российской Федерации 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участник должен быть членом саморегулируемой организации аудиторов;</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профессиональная ответственность участника должна быть застрахована.</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Стоимость услуг для АО «Чеченэнерго» на 2023 г. определена в сумме </w:t>
      </w:r>
      <w:r w:rsidR="003F2617" w:rsidRPr="00B369F9">
        <w:rPr>
          <w:rFonts w:ascii="Times New Roman" w:eastAsia="Calibri" w:hAnsi="Times New Roman" w:cs="Times New Roman"/>
          <w:sz w:val="24"/>
          <w:szCs w:val="24"/>
        </w:rPr>
        <w:t>235 586,</w:t>
      </w:r>
      <w:r w:rsidRPr="00B369F9">
        <w:rPr>
          <w:rFonts w:ascii="Times New Roman" w:eastAsia="Calibri" w:hAnsi="Times New Roman" w:cs="Times New Roman"/>
          <w:sz w:val="24"/>
          <w:szCs w:val="24"/>
        </w:rPr>
        <w:t>92</w:t>
      </w:r>
      <w:r w:rsidR="003F2617"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руб. с учетом НДС 20 %.</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Указанный аудитор также утвержден решением годового Общего собрания акционеров А</w:t>
      </w:r>
      <w:r w:rsidR="003F2617" w:rsidRPr="00B369F9">
        <w:rPr>
          <w:rFonts w:ascii="Times New Roman" w:eastAsia="Calibri" w:hAnsi="Times New Roman" w:cs="Times New Roman"/>
          <w:sz w:val="24"/>
          <w:szCs w:val="24"/>
        </w:rPr>
        <w:t>О «Чеченэнерго»</w:t>
      </w:r>
      <w:r w:rsidR="004D3891">
        <w:rPr>
          <w:rFonts w:ascii="Times New Roman" w:eastAsia="Calibri" w:hAnsi="Times New Roman" w:cs="Times New Roman"/>
          <w:sz w:val="24"/>
          <w:szCs w:val="24"/>
        </w:rPr>
        <w:t xml:space="preserve"> 06.06.2023</w:t>
      </w:r>
      <w:r w:rsidR="003F2617" w:rsidRPr="00B369F9">
        <w:rPr>
          <w:rFonts w:ascii="Times New Roman" w:eastAsia="Calibri" w:hAnsi="Times New Roman" w:cs="Times New Roman"/>
          <w:sz w:val="24"/>
          <w:szCs w:val="24"/>
        </w:rPr>
        <w:t xml:space="preserve"> (протокол от 07.06.</w:t>
      </w:r>
      <w:r w:rsidRPr="00B369F9">
        <w:rPr>
          <w:rFonts w:ascii="Times New Roman" w:eastAsia="Calibri" w:hAnsi="Times New Roman" w:cs="Times New Roman"/>
          <w:sz w:val="24"/>
          <w:szCs w:val="24"/>
        </w:rPr>
        <w:t>2023 № 27).</w:t>
      </w:r>
    </w:p>
    <w:p w:rsidR="001D2BFB"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Размер оплаты услуг аудитора утвержден Советом директоров А</w:t>
      </w:r>
      <w:r w:rsidR="007E1EA9" w:rsidRPr="00B369F9">
        <w:rPr>
          <w:rFonts w:ascii="Times New Roman" w:eastAsia="Calibri" w:hAnsi="Times New Roman" w:cs="Times New Roman"/>
          <w:sz w:val="24"/>
          <w:szCs w:val="24"/>
        </w:rPr>
        <w:t>О «Чеченэнерго» (протокол от 03.07.</w:t>
      </w:r>
      <w:r w:rsidRPr="00B369F9">
        <w:rPr>
          <w:rFonts w:ascii="Times New Roman" w:eastAsia="Calibri" w:hAnsi="Times New Roman" w:cs="Times New Roman"/>
          <w:sz w:val="24"/>
          <w:szCs w:val="24"/>
        </w:rPr>
        <w:t>2023 № 305).</w:t>
      </w:r>
    </w:p>
    <w:p w:rsidR="00C77F2C" w:rsidRPr="00B369F9" w:rsidRDefault="001D2BFB" w:rsidP="001D2BFB">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2023 г</w:t>
      </w:r>
      <w:r w:rsidR="007E1EA9" w:rsidRPr="00B369F9">
        <w:rPr>
          <w:rFonts w:ascii="Times New Roman" w:eastAsia="Calibri" w:hAnsi="Times New Roman" w:cs="Times New Roman"/>
          <w:sz w:val="24"/>
          <w:szCs w:val="24"/>
        </w:rPr>
        <w:t>оду</w:t>
      </w:r>
      <w:r w:rsidRPr="00B369F9">
        <w:rPr>
          <w:rFonts w:ascii="Times New Roman" w:eastAsia="Calibri" w:hAnsi="Times New Roman" w:cs="Times New Roman"/>
          <w:sz w:val="24"/>
          <w:szCs w:val="24"/>
        </w:rPr>
        <w:t xml:space="preserve"> аудиторами не оказывались </w:t>
      </w:r>
      <w:r w:rsidR="007E1EA9" w:rsidRPr="00B369F9">
        <w:rPr>
          <w:rFonts w:ascii="Times New Roman" w:eastAsia="Calibri" w:hAnsi="Times New Roman" w:cs="Times New Roman"/>
          <w:sz w:val="24"/>
          <w:szCs w:val="24"/>
        </w:rPr>
        <w:t>Обществу</w:t>
      </w:r>
      <w:r w:rsidRPr="00B369F9">
        <w:rPr>
          <w:rFonts w:ascii="Times New Roman" w:eastAsia="Calibri" w:hAnsi="Times New Roman" w:cs="Times New Roman"/>
          <w:sz w:val="24"/>
          <w:szCs w:val="24"/>
        </w:rPr>
        <w:t xml:space="preserve"> другие (неаудиторские) услуги.</w:t>
      </w:r>
    </w:p>
    <w:p w:rsidR="00126221" w:rsidRPr="00B369F9" w:rsidRDefault="00126221" w:rsidP="00126221">
      <w:pPr>
        <w:shd w:val="clear" w:color="auto" w:fill="FFFFFF" w:themeFill="background1"/>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Оценка эффективности внешнего аудита не проводилась.</w:t>
      </w:r>
    </w:p>
    <w:p w:rsidR="006E2FB6" w:rsidRPr="00B369F9" w:rsidRDefault="006E2FB6" w:rsidP="00126221">
      <w:pPr>
        <w:shd w:val="clear" w:color="auto" w:fill="FFFFFF" w:themeFill="background1"/>
        <w:spacing w:after="0" w:line="240" w:lineRule="auto"/>
        <w:ind w:firstLine="709"/>
        <w:jc w:val="both"/>
        <w:rPr>
          <w:rFonts w:ascii="Times New Roman" w:eastAsia="Calibri" w:hAnsi="Times New Roman" w:cs="Times New Roman"/>
          <w:sz w:val="24"/>
          <w:szCs w:val="24"/>
        </w:rPr>
      </w:pPr>
    </w:p>
    <w:p w:rsidR="006E2FB6" w:rsidRPr="00B369F9" w:rsidRDefault="006E2FB6" w:rsidP="005B2B61">
      <w:pPr>
        <w:pStyle w:val="1"/>
        <w:ind w:firstLine="709"/>
      </w:pPr>
      <w:bookmarkStart w:id="53" w:name="_Toc100218041"/>
      <w:bookmarkStart w:id="54" w:name="_Toc163738886"/>
      <w:bookmarkStart w:id="55" w:name="_Toc473537034"/>
      <w:bookmarkEnd w:id="52"/>
      <w:r w:rsidRPr="00B369F9">
        <w:t>Акционерный капитал, обращение ценных бумаг</w:t>
      </w:r>
      <w:bookmarkEnd w:id="53"/>
      <w:bookmarkEnd w:id="54"/>
    </w:p>
    <w:p w:rsidR="00E13C85" w:rsidRPr="00B369F9" w:rsidRDefault="00E13C85" w:rsidP="007C7C02">
      <w:pPr>
        <w:keepNext/>
        <w:suppressAutoHyphens/>
        <w:spacing w:after="0" w:line="240" w:lineRule="auto"/>
        <w:ind w:firstLine="709"/>
        <w:jc w:val="both"/>
        <w:outlineLvl w:val="0"/>
        <w:rPr>
          <w:rFonts w:ascii="Times New Roman" w:eastAsia="Calibri" w:hAnsi="Times New Roman" w:cs="Times New Roman"/>
          <w:b/>
          <w:sz w:val="24"/>
          <w:szCs w:val="24"/>
        </w:rPr>
      </w:pPr>
      <w:bookmarkStart w:id="56" w:name="_Toc503284548"/>
      <w:bookmarkStart w:id="57" w:name="_Toc37771220"/>
      <w:bookmarkStart w:id="58" w:name="_Toc67663076"/>
      <w:bookmarkStart w:id="59" w:name="_Toc100218042"/>
    </w:p>
    <w:bookmarkEnd w:id="56"/>
    <w:bookmarkEnd w:id="57"/>
    <w:bookmarkEnd w:id="58"/>
    <w:bookmarkEnd w:id="59"/>
    <w:p w:rsidR="006E2FB6" w:rsidRPr="00B369F9" w:rsidRDefault="006E2FB6" w:rsidP="007C7C02">
      <w:pPr>
        <w:spacing w:after="0" w:line="240" w:lineRule="auto"/>
        <w:jc w:val="center"/>
        <w:rPr>
          <w:rFonts w:ascii="Times New Roman" w:eastAsia="Calibri" w:hAnsi="Times New Roman" w:cs="Times New Roman"/>
          <w:b/>
          <w:sz w:val="24"/>
          <w:szCs w:val="24"/>
        </w:rPr>
      </w:pPr>
      <w:r w:rsidRPr="00B369F9">
        <w:rPr>
          <w:rFonts w:ascii="Times New Roman" w:eastAsia="Calibri" w:hAnsi="Times New Roman" w:cs="Times New Roman"/>
          <w:b/>
          <w:sz w:val="24"/>
          <w:szCs w:val="24"/>
        </w:rPr>
        <w:t>Структура акционерного капитала</w:t>
      </w:r>
      <w:r w:rsidR="00EC2CBF" w:rsidRPr="00B369F9">
        <w:rPr>
          <w:rFonts w:ascii="Times New Roman" w:eastAsia="Calibri" w:hAnsi="Times New Roman" w:cs="Times New Roman"/>
          <w:b/>
          <w:sz w:val="24"/>
          <w:szCs w:val="24"/>
        </w:rPr>
        <w:t xml:space="preserve"> Общества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1843"/>
        <w:gridCol w:w="1842"/>
        <w:gridCol w:w="1843"/>
      </w:tblGrid>
      <w:tr w:rsidR="006E2FB6" w:rsidRPr="009C25EB" w:rsidTr="005E55E0">
        <w:trPr>
          <w:cantSplit/>
          <w:jc w:val="center"/>
        </w:trPr>
        <w:tc>
          <w:tcPr>
            <w:tcW w:w="4248" w:type="dxa"/>
            <w:vMerge w:val="restart"/>
            <w:vAlign w:val="center"/>
          </w:tcPr>
          <w:p w:rsidR="006E2FB6" w:rsidRPr="009C25EB" w:rsidRDefault="006E2FB6" w:rsidP="007C7C02">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rPr>
              <w:t>Наименование владельца ценных бумаг</w:t>
            </w:r>
          </w:p>
        </w:tc>
        <w:tc>
          <w:tcPr>
            <w:tcW w:w="1843" w:type="dxa"/>
            <w:vAlign w:val="center"/>
          </w:tcPr>
          <w:p w:rsidR="006E2FB6" w:rsidRPr="009C25EB" w:rsidRDefault="006E2FB6" w:rsidP="007C7C02">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rPr>
              <w:t>Доля в уставном капитале по состоянию на:</w:t>
            </w:r>
          </w:p>
        </w:tc>
        <w:tc>
          <w:tcPr>
            <w:tcW w:w="1842" w:type="dxa"/>
          </w:tcPr>
          <w:p w:rsidR="006E2FB6" w:rsidRPr="009C25EB" w:rsidRDefault="006E2FB6" w:rsidP="007C7C02">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rPr>
              <w:t>Доля в уставном капитале по состоянию на:</w:t>
            </w:r>
          </w:p>
        </w:tc>
        <w:tc>
          <w:tcPr>
            <w:tcW w:w="1843" w:type="dxa"/>
          </w:tcPr>
          <w:p w:rsidR="006E2FB6" w:rsidRPr="009C25EB" w:rsidRDefault="006E2FB6" w:rsidP="007C7C02">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rPr>
              <w:t>Доля в уставном капитале по состоянию на:</w:t>
            </w:r>
          </w:p>
        </w:tc>
      </w:tr>
      <w:tr w:rsidR="00DB6E64" w:rsidRPr="009C25EB" w:rsidTr="005E55E0">
        <w:trPr>
          <w:cantSplit/>
          <w:trHeight w:val="399"/>
          <w:jc w:val="center"/>
        </w:trPr>
        <w:tc>
          <w:tcPr>
            <w:tcW w:w="4248" w:type="dxa"/>
            <w:vMerge/>
            <w:vAlign w:val="center"/>
          </w:tcPr>
          <w:p w:rsidR="00DB6E64" w:rsidRPr="009C25EB" w:rsidRDefault="00DB6E64" w:rsidP="00DB6E64">
            <w:pPr>
              <w:spacing w:after="0" w:line="240" w:lineRule="auto"/>
              <w:rPr>
                <w:rFonts w:ascii="Times New Roman" w:eastAsia="Calibri" w:hAnsi="Times New Roman" w:cs="Times New Roman"/>
                <w:sz w:val="20"/>
                <w:szCs w:val="20"/>
              </w:rPr>
            </w:pP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rPr>
              <w:t>31.12.2021*</w:t>
            </w:r>
          </w:p>
        </w:tc>
        <w:tc>
          <w:tcPr>
            <w:tcW w:w="1842" w:type="dxa"/>
            <w:vAlign w:val="center"/>
          </w:tcPr>
          <w:p w:rsidR="00DB6E64" w:rsidRPr="009C25EB" w:rsidRDefault="00DB6E64" w:rsidP="00DB6E64">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lang w:val="en-US"/>
              </w:rPr>
              <w:t>31</w:t>
            </w:r>
            <w:r w:rsidRPr="009C25EB">
              <w:rPr>
                <w:rFonts w:ascii="Times New Roman" w:eastAsia="Calibri" w:hAnsi="Times New Roman" w:cs="Times New Roman"/>
                <w:b/>
                <w:sz w:val="20"/>
                <w:szCs w:val="20"/>
              </w:rPr>
              <w:t>.12.2022*</w:t>
            </w: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b/>
                <w:sz w:val="20"/>
                <w:szCs w:val="20"/>
              </w:rPr>
            </w:pPr>
            <w:r w:rsidRPr="009C25EB">
              <w:rPr>
                <w:rFonts w:ascii="Times New Roman" w:eastAsia="Calibri" w:hAnsi="Times New Roman" w:cs="Times New Roman"/>
                <w:b/>
                <w:sz w:val="20"/>
                <w:szCs w:val="20"/>
                <w:lang w:val="en-US"/>
              </w:rPr>
              <w:t>31</w:t>
            </w:r>
            <w:r w:rsidRPr="009C25EB">
              <w:rPr>
                <w:rFonts w:ascii="Times New Roman" w:eastAsia="Calibri" w:hAnsi="Times New Roman" w:cs="Times New Roman"/>
                <w:b/>
                <w:sz w:val="20"/>
                <w:szCs w:val="20"/>
              </w:rPr>
              <w:t>.12.2023**</w:t>
            </w:r>
          </w:p>
        </w:tc>
      </w:tr>
      <w:tr w:rsidR="00DB6E64" w:rsidRPr="009C25EB" w:rsidTr="005E55E0">
        <w:trPr>
          <w:cantSplit/>
          <w:trHeight w:val="283"/>
          <w:jc w:val="center"/>
        </w:trPr>
        <w:tc>
          <w:tcPr>
            <w:tcW w:w="4248" w:type="dxa"/>
            <w:vAlign w:val="center"/>
          </w:tcPr>
          <w:p w:rsidR="00DB6E64" w:rsidRPr="009C25EB" w:rsidRDefault="00DB6E64" w:rsidP="00DB6E64">
            <w:pPr>
              <w:spacing w:after="0" w:line="240" w:lineRule="auto"/>
              <w:rPr>
                <w:rFonts w:ascii="Times New Roman" w:eastAsia="Calibri" w:hAnsi="Times New Roman" w:cs="Times New Roman"/>
                <w:sz w:val="20"/>
                <w:szCs w:val="20"/>
              </w:rPr>
            </w:pPr>
            <w:r w:rsidRPr="009C25EB">
              <w:rPr>
                <w:rFonts w:ascii="Times New Roman" w:eastAsia="Calibri" w:hAnsi="Times New Roman" w:cs="Times New Roman"/>
                <w:sz w:val="20"/>
                <w:szCs w:val="20"/>
              </w:rPr>
              <w:t>Юридические лица – владельцы, в том числе:</w:t>
            </w: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100 %</w:t>
            </w:r>
          </w:p>
        </w:tc>
        <w:tc>
          <w:tcPr>
            <w:tcW w:w="1842"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100 %</w:t>
            </w: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100 %</w:t>
            </w:r>
          </w:p>
        </w:tc>
      </w:tr>
      <w:tr w:rsidR="00DB6E64" w:rsidRPr="009C25EB" w:rsidTr="005E55E0">
        <w:trPr>
          <w:cantSplit/>
          <w:trHeight w:val="283"/>
          <w:jc w:val="center"/>
        </w:trPr>
        <w:tc>
          <w:tcPr>
            <w:tcW w:w="4248" w:type="dxa"/>
            <w:vAlign w:val="center"/>
          </w:tcPr>
          <w:p w:rsidR="00DB6E64" w:rsidRPr="009C25EB" w:rsidRDefault="00DB6E64" w:rsidP="00DB6E64">
            <w:pPr>
              <w:spacing w:after="0" w:line="240" w:lineRule="auto"/>
              <w:rPr>
                <w:rFonts w:ascii="Times New Roman" w:eastAsia="Calibri" w:hAnsi="Times New Roman" w:cs="Times New Roman"/>
                <w:sz w:val="20"/>
                <w:szCs w:val="20"/>
              </w:rPr>
            </w:pPr>
            <w:r w:rsidRPr="009C25EB">
              <w:rPr>
                <w:rFonts w:ascii="Times New Roman" w:eastAsia="Calibri" w:hAnsi="Times New Roman" w:cs="Times New Roman"/>
                <w:sz w:val="20"/>
                <w:szCs w:val="20"/>
              </w:rPr>
              <w:t xml:space="preserve">ПАО «Россети» </w:t>
            </w: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82,75 %</w:t>
            </w:r>
          </w:p>
        </w:tc>
        <w:tc>
          <w:tcPr>
            <w:tcW w:w="1842"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lang w:val="en-US"/>
              </w:rPr>
              <w:t>88</w:t>
            </w:r>
            <w:r w:rsidRPr="009C25EB">
              <w:rPr>
                <w:rFonts w:ascii="Times New Roman" w:eastAsia="Calibri" w:hAnsi="Times New Roman" w:cs="Times New Roman"/>
                <w:sz w:val="20"/>
                <w:szCs w:val="20"/>
              </w:rPr>
              <w:t>,55 %</w:t>
            </w:r>
          </w:p>
        </w:tc>
        <w:tc>
          <w:tcPr>
            <w:tcW w:w="1843" w:type="dxa"/>
            <w:vAlign w:val="center"/>
          </w:tcPr>
          <w:p w:rsidR="00DB6E64" w:rsidRPr="009C25EB" w:rsidRDefault="000F355E" w:rsidP="000F355E">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90</w:t>
            </w:r>
            <w:r w:rsidR="00DB6E64" w:rsidRPr="009C25EB">
              <w:rPr>
                <w:rFonts w:ascii="Times New Roman" w:eastAsia="Calibri" w:hAnsi="Times New Roman" w:cs="Times New Roman"/>
                <w:sz w:val="20"/>
                <w:szCs w:val="20"/>
              </w:rPr>
              <w:t>,</w:t>
            </w:r>
            <w:r w:rsidRPr="009C25EB">
              <w:rPr>
                <w:rFonts w:ascii="Times New Roman" w:eastAsia="Calibri" w:hAnsi="Times New Roman" w:cs="Times New Roman"/>
                <w:sz w:val="20"/>
                <w:szCs w:val="20"/>
              </w:rPr>
              <w:t>4</w:t>
            </w:r>
            <w:r w:rsidR="00DB6E64" w:rsidRPr="009C25EB">
              <w:rPr>
                <w:rFonts w:ascii="Times New Roman" w:eastAsia="Calibri" w:hAnsi="Times New Roman" w:cs="Times New Roman"/>
                <w:sz w:val="20"/>
                <w:szCs w:val="20"/>
              </w:rPr>
              <w:t>5 %</w:t>
            </w:r>
          </w:p>
        </w:tc>
      </w:tr>
      <w:tr w:rsidR="00DB6E64" w:rsidRPr="009C25EB" w:rsidTr="005E55E0">
        <w:trPr>
          <w:cantSplit/>
          <w:trHeight w:val="283"/>
          <w:jc w:val="center"/>
        </w:trPr>
        <w:tc>
          <w:tcPr>
            <w:tcW w:w="4248" w:type="dxa"/>
            <w:vAlign w:val="center"/>
          </w:tcPr>
          <w:p w:rsidR="00DB6E64" w:rsidRPr="009C25EB" w:rsidRDefault="00DB6E64" w:rsidP="00DB6E64">
            <w:pPr>
              <w:spacing w:after="0" w:line="240" w:lineRule="auto"/>
              <w:rPr>
                <w:rFonts w:ascii="Times New Roman" w:eastAsia="Calibri" w:hAnsi="Times New Roman" w:cs="Times New Roman"/>
                <w:sz w:val="20"/>
                <w:szCs w:val="20"/>
              </w:rPr>
            </w:pPr>
            <w:r w:rsidRPr="009C25EB">
              <w:rPr>
                <w:rFonts w:ascii="Times New Roman" w:eastAsia="Calibri" w:hAnsi="Times New Roman" w:cs="Times New Roman"/>
                <w:sz w:val="20"/>
                <w:szCs w:val="20"/>
              </w:rPr>
              <w:lastRenderedPageBreak/>
              <w:t>Чеченская Республика в лице Министерства имущественных и земельных отношений Чеченской Республики</w:t>
            </w:r>
          </w:p>
        </w:tc>
        <w:tc>
          <w:tcPr>
            <w:tcW w:w="1843"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17,25 %</w:t>
            </w:r>
          </w:p>
        </w:tc>
        <w:tc>
          <w:tcPr>
            <w:tcW w:w="1842" w:type="dxa"/>
            <w:vAlign w:val="center"/>
          </w:tcPr>
          <w:p w:rsidR="00DB6E64" w:rsidRPr="009C25EB" w:rsidRDefault="00DB6E64" w:rsidP="00DB6E64">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11,45 %</w:t>
            </w:r>
          </w:p>
        </w:tc>
        <w:tc>
          <w:tcPr>
            <w:tcW w:w="1843" w:type="dxa"/>
            <w:vAlign w:val="center"/>
          </w:tcPr>
          <w:p w:rsidR="00DB6E64" w:rsidRPr="009C25EB" w:rsidRDefault="000F355E" w:rsidP="000F355E">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9</w:t>
            </w:r>
            <w:r w:rsidR="00DB6E64" w:rsidRPr="009C25EB">
              <w:rPr>
                <w:rFonts w:ascii="Times New Roman" w:eastAsia="Calibri" w:hAnsi="Times New Roman" w:cs="Times New Roman"/>
                <w:sz w:val="20"/>
                <w:szCs w:val="20"/>
              </w:rPr>
              <w:t>,</w:t>
            </w:r>
            <w:r w:rsidRPr="009C25EB">
              <w:rPr>
                <w:rFonts w:ascii="Times New Roman" w:eastAsia="Calibri" w:hAnsi="Times New Roman" w:cs="Times New Roman"/>
                <w:sz w:val="20"/>
                <w:szCs w:val="20"/>
              </w:rPr>
              <w:t>5</w:t>
            </w:r>
            <w:r w:rsidR="00DB6E64" w:rsidRPr="009C25EB">
              <w:rPr>
                <w:rFonts w:ascii="Times New Roman" w:eastAsia="Calibri" w:hAnsi="Times New Roman" w:cs="Times New Roman"/>
                <w:sz w:val="20"/>
                <w:szCs w:val="20"/>
              </w:rPr>
              <w:t>5 %</w:t>
            </w:r>
          </w:p>
        </w:tc>
      </w:tr>
    </w:tbl>
    <w:p w:rsidR="006E2FB6" w:rsidRPr="00B369F9" w:rsidRDefault="006E2FB6" w:rsidP="00786D9B">
      <w:pPr>
        <w:spacing w:after="0" w:line="240" w:lineRule="auto"/>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7A0A40" w:rsidRPr="00B369F9">
        <w:rPr>
          <w:rFonts w:ascii="Times New Roman" w:eastAsia="Calibri" w:hAnsi="Times New Roman" w:cs="Times New Roman"/>
          <w:sz w:val="24"/>
          <w:szCs w:val="24"/>
        </w:rPr>
        <w:t xml:space="preserve"> </w:t>
      </w:r>
      <w:r w:rsidRPr="00B369F9">
        <w:rPr>
          <w:rFonts w:ascii="Times New Roman" w:eastAsia="Calibri" w:hAnsi="Times New Roman" w:cs="Times New Roman"/>
          <w:sz w:val="24"/>
          <w:szCs w:val="24"/>
        </w:rPr>
        <w:t xml:space="preserve">данные указаны с учетом фактически размещенных акций дополнительного выпуска, зарегистрированного Банком России 20.07.2020 (регистрационный номер 1-01-35075-E-003D от 20.07.2020). </w:t>
      </w:r>
      <w:r w:rsidR="006B0CB4" w:rsidRPr="00B369F9">
        <w:rPr>
          <w:rFonts w:ascii="Times New Roman" w:eastAsia="Calibri" w:hAnsi="Times New Roman" w:cs="Times New Roman"/>
          <w:sz w:val="24"/>
          <w:szCs w:val="24"/>
        </w:rPr>
        <w:t>Банком России 03.08.2023 осуществлена государственная регистрация отчета об итогах дополнительного выпуска.</w:t>
      </w:r>
    </w:p>
    <w:p w:rsidR="00DB6E64" w:rsidRPr="00B369F9" w:rsidRDefault="00DB6E64" w:rsidP="00786D9B">
      <w:pPr>
        <w:spacing w:after="0" w:line="240" w:lineRule="auto"/>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w:t>
      </w:r>
      <w:r w:rsidR="007A0A40" w:rsidRPr="00B369F9">
        <w:rPr>
          <w:rFonts w:ascii="Times New Roman" w:eastAsia="Calibri" w:hAnsi="Times New Roman" w:cs="Times New Roman"/>
          <w:sz w:val="24"/>
          <w:szCs w:val="24"/>
        </w:rPr>
        <w:t xml:space="preserve"> данные указаны с учетом фактически размещенных акций дополнительного выпуска, зарегистрированного Банком России 14.09.2023 (регистрационный номер 1-01-35075-E-004D от 14.09.2023).</w:t>
      </w:r>
    </w:p>
    <w:p w:rsidR="006E2FB6" w:rsidRPr="00B369F9" w:rsidRDefault="006E2FB6" w:rsidP="007C7C02">
      <w:pPr>
        <w:tabs>
          <w:tab w:val="left" w:pos="993"/>
        </w:tabs>
        <w:spacing w:after="0" w:line="240" w:lineRule="auto"/>
        <w:ind w:right="-142"/>
        <w:contextualSpacing/>
        <w:rPr>
          <w:rFonts w:ascii="Times New Roman" w:hAnsi="Times New Roman" w:cs="Times New Roman"/>
          <w:sz w:val="24"/>
          <w:szCs w:val="24"/>
        </w:rPr>
      </w:pPr>
    </w:p>
    <w:p w:rsidR="006E2FB6" w:rsidRPr="00B369F9" w:rsidRDefault="006E2FB6" w:rsidP="007C7C02">
      <w:pPr>
        <w:pStyle w:val="af8"/>
        <w:tabs>
          <w:tab w:val="left" w:pos="993"/>
        </w:tabs>
        <w:ind w:left="709" w:right="-143"/>
        <w:contextualSpacing/>
        <w:rPr>
          <w:rFonts w:ascii="Times New Roman" w:hAnsi="Times New Roman" w:cs="Times New Roman"/>
          <w:b/>
          <w:sz w:val="24"/>
          <w:szCs w:val="24"/>
        </w:rPr>
      </w:pPr>
      <w:r w:rsidRPr="00B369F9">
        <w:rPr>
          <w:rFonts w:ascii="Times New Roman" w:hAnsi="Times New Roman" w:cs="Times New Roman"/>
          <w:b/>
          <w:sz w:val="24"/>
          <w:szCs w:val="24"/>
        </w:rPr>
        <w:t>Основные характеристики ценных бумаг Общества</w:t>
      </w:r>
    </w:p>
    <w:p w:rsidR="005B2B61" w:rsidRPr="00B369F9" w:rsidRDefault="005B2B61" w:rsidP="007C7C02">
      <w:pPr>
        <w:pStyle w:val="af8"/>
        <w:tabs>
          <w:tab w:val="left" w:pos="993"/>
        </w:tabs>
        <w:ind w:left="709" w:right="-143"/>
        <w:contextualSpacing/>
        <w:rPr>
          <w:rFonts w:ascii="Times New Roman" w:hAnsi="Times New Roman" w:cs="Times New Roman"/>
          <w:b/>
          <w:sz w:val="24"/>
          <w:szCs w:val="24"/>
        </w:rPr>
      </w:pP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 соответствии с Уставом Общества уставный капитал Общества равен </w:t>
      </w:r>
      <w:r w:rsidR="00250E5B" w:rsidRPr="00B369F9">
        <w:rPr>
          <w:rFonts w:ascii="Times New Roman" w:eastAsia="Calibri" w:hAnsi="Times New Roman" w:cs="Times New Roman"/>
          <w:sz w:val="24"/>
          <w:szCs w:val="24"/>
        </w:rPr>
        <w:t xml:space="preserve">26 192 749 799 </w:t>
      </w:r>
      <w:r w:rsidRPr="00B369F9">
        <w:rPr>
          <w:rFonts w:ascii="Times New Roman" w:eastAsia="Calibri" w:hAnsi="Times New Roman" w:cs="Times New Roman"/>
          <w:sz w:val="24"/>
          <w:szCs w:val="24"/>
        </w:rPr>
        <w:t xml:space="preserve">руб. Обществом размещено </w:t>
      </w:r>
      <w:r w:rsidR="00250E5B" w:rsidRPr="00B369F9">
        <w:rPr>
          <w:rFonts w:ascii="Times New Roman" w:eastAsia="Calibri" w:hAnsi="Times New Roman" w:cs="Times New Roman"/>
          <w:sz w:val="24"/>
          <w:szCs w:val="24"/>
        </w:rPr>
        <w:t xml:space="preserve">26 192 749 799 </w:t>
      </w:r>
      <w:r w:rsidRPr="00B369F9">
        <w:rPr>
          <w:rFonts w:ascii="Times New Roman" w:eastAsia="Calibri" w:hAnsi="Times New Roman" w:cs="Times New Roman"/>
          <w:sz w:val="24"/>
          <w:szCs w:val="24"/>
        </w:rPr>
        <w:t>обыкновенных акций номинальной стоимостью 1 руб. каждая. Привилегированные акции Обществом не размещались.</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Количество объявленных обыкновенных бездокументарных акций составляет </w:t>
      </w:r>
      <w:r w:rsidR="00250E5B" w:rsidRPr="00B369F9">
        <w:rPr>
          <w:rFonts w:ascii="Times New Roman" w:eastAsia="Calibri" w:hAnsi="Times New Roman" w:cs="Times New Roman"/>
          <w:sz w:val="24"/>
          <w:szCs w:val="24"/>
        </w:rPr>
        <w:t xml:space="preserve">10 705 462 997 </w:t>
      </w:r>
      <w:r w:rsidRPr="00B369F9">
        <w:rPr>
          <w:rFonts w:ascii="Times New Roman" w:eastAsia="Calibri" w:hAnsi="Times New Roman" w:cs="Times New Roman"/>
          <w:sz w:val="24"/>
          <w:szCs w:val="24"/>
        </w:rPr>
        <w:t>штук номинальной стоимостью 1 руб. каждая.</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Первое размещение акций Общества осуществлено на дату государственной регистрации Общества 08.05.2008 в качестве юридического лица путем распределения акций среди учредителей: ОАО РАО «ЕЭС России» и ОАО «Чеченская топливно-энергетическая компания» (далее – ОАО «ЧеченТЭК»).</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Выпуск обыкновенных именных бездокументарных акций Общества зарегистрирован Региональным отделением Федеральной службы по финансовым рынкам в Южном федеральном округе (РО ФСФР России в ЮФО) 29.10.2008 (государственный регистрационный номер 1-01-35075-Е).</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соответствии с Распоряжением Правительства Чеченской Республики от 03.04.2009 № 135-р Чеченская Республика в лице Министерства имущественных и земельных отношений приняла в собственность от ОАО «ЧеченТЭК» обыкновенные акции Общества выпуска от 29.10.2008 № 1-01-35075-Е в количестве 49 000 штук, составляющих 49 % уставного капитала Общества.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Внеочередным Общим собранием акционеров Общества (протокол от 05.06.2013 № 8) принято решение об увеличении уставного капитала Общества путем размещения дополнительных обыкновенных именных бездокументарных акций в количестве 8</w:t>
      </w:r>
      <w:r w:rsidR="004111E3"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383</w:t>
      </w:r>
      <w:r w:rsidR="004111E3"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427</w:t>
      </w:r>
      <w:r w:rsidR="004111E3"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 xml:space="preserve">634 штуки номинальной стоимостью 1 руб. каждая. </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Дополнительный выпуск акций Общества в количестве 8 383 427 634 штуки зарегистрирован ФСФР России 18.07.2013 (государственный регистрационный номер 1-01-35075-E-001D).</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Акции размещались на следующих условиях:</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 способ размещения: закрытая подписка, круг лиц – ПАО «Россети» и Чеченская Республика;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 цена размещения: 1 руб</w:t>
      </w:r>
      <w:r w:rsidR="00F14FAB" w:rsidRPr="00B369F9">
        <w:rPr>
          <w:rFonts w:ascii="Times New Roman" w:eastAsia="Calibri" w:hAnsi="Times New Roman" w:cs="Times New Roman"/>
          <w:sz w:val="24"/>
          <w:szCs w:val="24"/>
        </w:rPr>
        <w:t>.</w:t>
      </w:r>
      <w:r w:rsidRPr="00B369F9">
        <w:rPr>
          <w:rFonts w:ascii="Times New Roman" w:eastAsia="Calibri" w:hAnsi="Times New Roman" w:cs="Times New Roman"/>
          <w:sz w:val="24"/>
          <w:szCs w:val="24"/>
        </w:rPr>
        <w:t xml:space="preserve"> (решение Совета директоров АО «Чеченэнерго» от 29.05.2013, протокол № 33);</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 xml:space="preserve">- форма оплаты: денежные средства в </w:t>
      </w:r>
      <w:r w:rsidR="00C42A1B" w:rsidRPr="00B369F9">
        <w:rPr>
          <w:rFonts w:ascii="Times New Roman" w:eastAsia="Calibri" w:hAnsi="Times New Roman" w:cs="Times New Roman"/>
          <w:sz w:val="24"/>
          <w:szCs w:val="24"/>
        </w:rPr>
        <w:t>руб</w:t>
      </w:r>
      <w:r w:rsidR="00FA4C3E">
        <w:rPr>
          <w:rFonts w:ascii="Times New Roman" w:eastAsia="Calibri" w:hAnsi="Times New Roman" w:cs="Times New Roman"/>
          <w:sz w:val="24"/>
          <w:szCs w:val="24"/>
        </w:rPr>
        <w:t>лях</w:t>
      </w:r>
      <w:r w:rsidRPr="00B369F9">
        <w:rPr>
          <w:rFonts w:ascii="Times New Roman" w:eastAsia="Calibri" w:hAnsi="Times New Roman" w:cs="Times New Roman"/>
          <w:sz w:val="24"/>
          <w:szCs w:val="24"/>
        </w:rPr>
        <w:t xml:space="preserve"> Российской Федерации и имущество распределительного электросетевого хозяйства, участвующее в энергоснабжении абонентов Чеченской Республики.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Эмиссия акций проводилась с целью консолидации электросетевого имущества на базе АО «Чеченэнерго».</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Отчет об итогах дополнительного выпуска ценных бумаг зарегистрирован Банком России 28.10.2014. Количество фактически размещенных ценных бумаг – 5 884 091 665 штук.</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lastRenderedPageBreak/>
        <w:t>Внеочередным Общим собранием акционеров Общества (протокол от 07.09.2016 № 15) принято решение об увеличении уставного капитала Общества путем размещения дополнительных обыкновенных именных бездокументарных акций в количестве 5 068 551 655 штук номинальной стоимостью 1 руб. каждая. Дополнительный выпуск акций Общества в количестве 5 068 551 655 штук зарегистрирован Банком России 12.01.2017 (государственный регистрационный номер № 1-01-35075-E-002D).</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Акции размещались на следующих условиях:</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способ размещения: закрытая подписка, круг лиц - ПАО «Россети» и Чеченская Республика;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цена размещения: 1 руб</w:t>
      </w:r>
      <w:r w:rsidR="00F14FAB" w:rsidRPr="00B369F9">
        <w:rPr>
          <w:rFonts w:ascii="Times New Roman" w:eastAsia="Calibri" w:hAnsi="Times New Roman" w:cs="Times New Roman"/>
          <w:sz w:val="24"/>
          <w:szCs w:val="24"/>
        </w:rPr>
        <w:t>.</w:t>
      </w:r>
      <w:r w:rsidRPr="00B369F9">
        <w:rPr>
          <w:rFonts w:ascii="Times New Roman" w:eastAsia="Calibri" w:hAnsi="Times New Roman" w:cs="Times New Roman"/>
          <w:sz w:val="24"/>
          <w:szCs w:val="24"/>
        </w:rPr>
        <w:t xml:space="preserve"> (решение Совета директоров АО «Чеченэнерго» от 21.12.2016, протокол № 117);</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 форма оплаты: денежные средства в </w:t>
      </w:r>
      <w:r w:rsidR="00C42A1B" w:rsidRPr="00B369F9">
        <w:rPr>
          <w:rFonts w:ascii="Times New Roman" w:eastAsia="Calibri" w:hAnsi="Times New Roman" w:cs="Times New Roman"/>
          <w:sz w:val="24"/>
          <w:szCs w:val="24"/>
        </w:rPr>
        <w:t>руб</w:t>
      </w:r>
      <w:r w:rsidR="00CF0A4B">
        <w:rPr>
          <w:rFonts w:ascii="Times New Roman" w:eastAsia="Calibri" w:hAnsi="Times New Roman" w:cs="Times New Roman"/>
          <w:sz w:val="24"/>
          <w:szCs w:val="24"/>
        </w:rPr>
        <w:t>лях</w:t>
      </w:r>
      <w:r w:rsidRPr="00B369F9">
        <w:rPr>
          <w:rFonts w:ascii="Times New Roman" w:eastAsia="Calibri" w:hAnsi="Times New Roman" w:cs="Times New Roman"/>
          <w:sz w:val="24"/>
          <w:szCs w:val="24"/>
        </w:rPr>
        <w:t xml:space="preserve"> Российской Федерации и электросетевое имущество, расположенное на территории Чеченской Республики.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Эмиссия проводилась с целью привлечения денежных средств для финансирования мероприятий Плана развития группы «Россети Северный Кавказ» и консолидации электросетевого имущества.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Банком России 07.12.2017, 06.08.2018 и 19.11.2018 зарегистрированы Изменения в Решение о дополнительном выпуске ценных бумаг Общества (государственный регистрационный номер дополнительного выпуска 1-01-35075-E-002D), связанные с продлением срока размещения акций.</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Банком России 19.03.2020 зарегистрирован Отчет об итогах дополнительного выпуска ценных бумаг Общества (государственный регистрационный номер № 1-01-35075-E-002D). Общее количество размещенных дополнительных обыкновенных акций составило 4 719 746 794 штук.</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Внеочередным Общим собранием акционеров Общества (протокол от 30.04.2020 № 20) принято решение об увеличении уставного капитала Общества путем размещения дополнительных обыкновенных именных бездокументарных акций в количестве 4 270 435 579 штук номинальной стоимостью 1 руб. каждая. </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Дополнительный выпуск акций Общества в количестве 4 270 435 579 штук зарегистрирован Банком России 20.07.2020 (регистрационный номер № 1-01-35075-E-003D).</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Акции </w:t>
      </w:r>
      <w:r w:rsidR="004111E3" w:rsidRPr="00B369F9">
        <w:rPr>
          <w:rFonts w:ascii="Times New Roman" w:eastAsia="Calibri" w:hAnsi="Times New Roman" w:cs="Times New Roman"/>
          <w:sz w:val="24"/>
          <w:szCs w:val="24"/>
        </w:rPr>
        <w:t>размещались</w:t>
      </w:r>
      <w:r w:rsidRPr="00B369F9">
        <w:rPr>
          <w:rFonts w:ascii="Times New Roman" w:eastAsia="Calibri" w:hAnsi="Times New Roman" w:cs="Times New Roman"/>
          <w:sz w:val="24"/>
          <w:szCs w:val="24"/>
        </w:rPr>
        <w:t xml:space="preserve"> на следующих условиях:</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способ размещения: закрытая подписка, круг лиц - ПАО «Россети»;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цена размещения: 1 руб</w:t>
      </w:r>
      <w:r w:rsidR="00F14FAB" w:rsidRPr="00B369F9">
        <w:rPr>
          <w:rFonts w:ascii="Times New Roman" w:eastAsia="Calibri" w:hAnsi="Times New Roman" w:cs="Times New Roman"/>
          <w:sz w:val="24"/>
          <w:szCs w:val="24"/>
        </w:rPr>
        <w:t>.</w:t>
      </w:r>
      <w:r w:rsidRPr="00B369F9">
        <w:rPr>
          <w:rFonts w:ascii="Times New Roman" w:eastAsia="Calibri" w:hAnsi="Times New Roman" w:cs="Times New Roman"/>
          <w:sz w:val="24"/>
          <w:szCs w:val="24"/>
        </w:rPr>
        <w:t xml:space="preserve"> (решение Совета директоров АО «Чеченэнерго» от 27.07.2020, протокол № 214);</w:t>
      </w:r>
    </w:p>
    <w:p w:rsidR="006E2FB6" w:rsidRPr="00B369F9" w:rsidRDefault="006E2FB6" w:rsidP="007C7C02">
      <w:pPr>
        <w:spacing w:after="0" w:line="240" w:lineRule="auto"/>
        <w:ind w:right="-142"/>
        <w:contextualSpacing/>
        <w:rPr>
          <w:rFonts w:ascii="Times New Roman" w:eastAsia="Calibri" w:hAnsi="Times New Roman" w:cs="Times New Roman"/>
          <w:sz w:val="24"/>
          <w:szCs w:val="24"/>
        </w:rPr>
      </w:pPr>
      <w:r w:rsidRPr="00B369F9">
        <w:rPr>
          <w:rFonts w:ascii="Times New Roman" w:eastAsia="Calibri" w:hAnsi="Times New Roman" w:cs="Times New Roman"/>
          <w:sz w:val="24"/>
          <w:szCs w:val="24"/>
        </w:rPr>
        <w:tab/>
        <w:t xml:space="preserve">- форма оплаты: денежные средства в </w:t>
      </w:r>
      <w:r w:rsidR="00C42A1B" w:rsidRPr="00B369F9">
        <w:rPr>
          <w:rFonts w:ascii="Times New Roman" w:eastAsia="Calibri" w:hAnsi="Times New Roman" w:cs="Times New Roman"/>
          <w:sz w:val="24"/>
          <w:szCs w:val="24"/>
        </w:rPr>
        <w:t>руб</w:t>
      </w:r>
      <w:r w:rsidR="000760D4">
        <w:rPr>
          <w:rFonts w:ascii="Times New Roman" w:eastAsia="Calibri" w:hAnsi="Times New Roman" w:cs="Times New Roman"/>
          <w:sz w:val="24"/>
          <w:szCs w:val="24"/>
        </w:rPr>
        <w:t>лях</w:t>
      </w:r>
      <w:r w:rsidRPr="00B369F9">
        <w:rPr>
          <w:rFonts w:ascii="Times New Roman" w:eastAsia="Calibri" w:hAnsi="Times New Roman" w:cs="Times New Roman"/>
          <w:sz w:val="24"/>
          <w:szCs w:val="24"/>
        </w:rPr>
        <w:t xml:space="preserve"> Российской Федерации.</w:t>
      </w:r>
    </w:p>
    <w:p w:rsidR="006E2FB6" w:rsidRPr="00B369F9" w:rsidRDefault="006E2FB6" w:rsidP="007C7C02">
      <w:pPr>
        <w:spacing w:after="0" w:line="240" w:lineRule="auto"/>
        <w:ind w:right="-142"/>
        <w:contextualSpacing/>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Внеочередным Общим собранием акционеров Общества (протокол от 20.08.2021 № 24) принято решение внести изменения в решение внеочередного Общего собрания акционеров АО «Чеченэнерго» от 30.04.2020 (протокол от 30.04.2020 № 20) по вопросу № 3 «Об увеличении уставного капитала АО «Чеченэнерго» путем размещения дополнительных акций» увеличив количество размещаемых дополнительных акций до 17 966 772 579 штук.</w:t>
      </w:r>
    </w:p>
    <w:p w:rsidR="002F2F68" w:rsidRPr="00B369F9" w:rsidRDefault="002F2F68" w:rsidP="007C7C02">
      <w:pPr>
        <w:spacing w:after="0" w:line="240" w:lineRule="auto"/>
        <w:ind w:right="-142" w:firstLine="708"/>
        <w:contextualSpacing/>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Годовым Общим собранием акционеров Общества (протокол от 22.06.2022 № 25) принято решение внести изменения в решение внеочередного Общего собрания акционеров АО «Чеченэнерго» от 30.04.2020 (протокол от 30.04.2020 № 20) по вопросу № 3 «Об</w:t>
      </w:r>
      <w:r w:rsidR="00C32F26" w:rsidRPr="00B369F9">
        <w:rPr>
          <w:rFonts w:ascii="Times New Roman" w:eastAsia="Calibri" w:hAnsi="Times New Roman" w:cs="Times New Roman"/>
          <w:sz w:val="24"/>
          <w:szCs w:val="24"/>
        </w:rPr>
        <w:t> </w:t>
      </w:r>
      <w:r w:rsidRPr="00B369F9">
        <w:rPr>
          <w:rFonts w:ascii="Times New Roman" w:eastAsia="Calibri" w:hAnsi="Times New Roman" w:cs="Times New Roman"/>
          <w:sz w:val="24"/>
          <w:szCs w:val="24"/>
        </w:rPr>
        <w:t>увеличении уставного капитала АО «Чеченэнерго» путем размещения дополнительных акций» увеличив количество размещаемых дополнительных акций до 20 866 772 579 штук.</w:t>
      </w:r>
    </w:p>
    <w:p w:rsidR="002F2F68" w:rsidRPr="00B369F9" w:rsidRDefault="00917180" w:rsidP="007C7C02">
      <w:pPr>
        <w:spacing w:after="0" w:line="240" w:lineRule="auto"/>
        <w:ind w:firstLine="708"/>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Внеочередным Общим собранием акционеров Общества (протокол от 27.09.2022 № 26) принято решение внести изменения в решение внеочередного Общего собрания акционеров АО «Чеченэнерго» от 30.04.2020 (протокол от 30.04.2020 № 20) по вопросу №</w:t>
      </w:r>
      <w:r w:rsidRPr="00B369F9">
        <w:rPr>
          <w:rFonts w:ascii="Times New Roman" w:eastAsia="Calibri" w:hAnsi="Times New Roman" w:cs="Times New Roman"/>
          <w:sz w:val="24"/>
          <w:szCs w:val="24"/>
          <w:lang w:val="en-US"/>
        </w:rPr>
        <w:t> </w:t>
      </w:r>
      <w:r w:rsidRPr="00B369F9">
        <w:rPr>
          <w:rFonts w:ascii="Times New Roman" w:eastAsia="Calibri" w:hAnsi="Times New Roman" w:cs="Times New Roman"/>
          <w:sz w:val="24"/>
          <w:szCs w:val="24"/>
        </w:rPr>
        <w:t xml:space="preserve">3 «Об увеличении уставного капитала АО «Чеченэнерго» путем размещения </w:t>
      </w:r>
      <w:r w:rsidRPr="00B369F9">
        <w:rPr>
          <w:rFonts w:ascii="Times New Roman" w:eastAsia="Calibri" w:hAnsi="Times New Roman" w:cs="Times New Roman"/>
          <w:sz w:val="24"/>
          <w:szCs w:val="24"/>
        </w:rPr>
        <w:lastRenderedPageBreak/>
        <w:t>дополнительных акций» увеличив количество размещаемых дополнительных акций до 22</w:t>
      </w:r>
      <w:r w:rsidRPr="00B369F9">
        <w:rPr>
          <w:rFonts w:ascii="Times New Roman" w:eastAsia="Calibri" w:hAnsi="Times New Roman" w:cs="Times New Roman"/>
          <w:sz w:val="24"/>
          <w:szCs w:val="24"/>
          <w:lang w:val="en-US"/>
        </w:rPr>
        <w:t> </w:t>
      </w:r>
      <w:r w:rsidRPr="00B369F9">
        <w:rPr>
          <w:rFonts w:ascii="Times New Roman" w:eastAsia="Calibri" w:hAnsi="Times New Roman" w:cs="Times New Roman"/>
          <w:sz w:val="24"/>
          <w:szCs w:val="24"/>
        </w:rPr>
        <w:t>687</w:t>
      </w:r>
      <w:r w:rsidRPr="00B369F9">
        <w:rPr>
          <w:rFonts w:ascii="Times New Roman" w:eastAsia="Calibri" w:hAnsi="Times New Roman" w:cs="Times New Roman"/>
          <w:sz w:val="24"/>
          <w:szCs w:val="24"/>
          <w:lang w:val="en-US"/>
        </w:rPr>
        <w:t> </w:t>
      </w:r>
      <w:r w:rsidRPr="00B369F9">
        <w:rPr>
          <w:rFonts w:ascii="Times New Roman" w:eastAsia="Calibri" w:hAnsi="Times New Roman" w:cs="Times New Roman"/>
          <w:sz w:val="24"/>
          <w:szCs w:val="24"/>
        </w:rPr>
        <w:t>477</w:t>
      </w:r>
      <w:r w:rsidRPr="00B369F9">
        <w:rPr>
          <w:rFonts w:ascii="Times New Roman" w:eastAsia="Calibri" w:hAnsi="Times New Roman" w:cs="Times New Roman"/>
          <w:sz w:val="24"/>
          <w:szCs w:val="24"/>
          <w:lang w:val="en-US"/>
        </w:rPr>
        <w:t> </w:t>
      </w:r>
      <w:r w:rsidRPr="00B369F9">
        <w:rPr>
          <w:rFonts w:ascii="Times New Roman" w:eastAsia="Calibri" w:hAnsi="Times New Roman" w:cs="Times New Roman"/>
          <w:sz w:val="24"/>
          <w:szCs w:val="24"/>
        </w:rPr>
        <w:t>579 штук.</w:t>
      </w:r>
    </w:p>
    <w:p w:rsidR="006E2FB6" w:rsidRPr="00B369F9" w:rsidRDefault="006E2FB6" w:rsidP="007C7C02">
      <w:pPr>
        <w:spacing w:after="0" w:line="240" w:lineRule="auto"/>
        <w:ind w:firstLine="708"/>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Эмиссия проводи</w:t>
      </w:r>
      <w:r w:rsidR="00D86260" w:rsidRPr="00B369F9">
        <w:rPr>
          <w:rFonts w:ascii="Times New Roman" w:eastAsia="Calibri" w:hAnsi="Times New Roman" w:cs="Times New Roman"/>
          <w:sz w:val="24"/>
          <w:szCs w:val="24"/>
        </w:rPr>
        <w:t>лась</w:t>
      </w:r>
      <w:r w:rsidRPr="00B369F9">
        <w:rPr>
          <w:rFonts w:ascii="Times New Roman" w:eastAsia="Calibri" w:hAnsi="Times New Roman" w:cs="Times New Roman"/>
          <w:sz w:val="24"/>
          <w:szCs w:val="24"/>
        </w:rPr>
        <w:t xml:space="preserve"> с целью привлечения денежных средств для финансирования мероприятий Плана развития</w:t>
      </w:r>
      <w:r w:rsidR="00872DF6" w:rsidRPr="00B369F9">
        <w:rPr>
          <w:rFonts w:ascii="Times New Roman" w:eastAsia="Calibri" w:hAnsi="Times New Roman" w:cs="Times New Roman"/>
          <w:sz w:val="24"/>
          <w:szCs w:val="24"/>
        </w:rPr>
        <w:t xml:space="preserve"> Общества</w:t>
      </w:r>
      <w:r w:rsidRPr="00B369F9">
        <w:rPr>
          <w:rFonts w:ascii="Times New Roman" w:eastAsia="Calibri" w:hAnsi="Times New Roman" w:cs="Times New Roman"/>
          <w:sz w:val="24"/>
          <w:szCs w:val="24"/>
        </w:rPr>
        <w:t>.</w:t>
      </w:r>
    </w:p>
    <w:p w:rsidR="00D86260" w:rsidRPr="00B369F9" w:rsidRDefault="00D86260" w:rsidP="00D86260">
      <w:pPr>
        <w:spacing w:after="0" w:line="240" w:lineRule="auto"/>
        <w:ind w:firstLine="708"/>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Банком России 03.08.2023 зарегистрирован Отчет об итогах дополнительного выпуска ценных бумаг Общества (регистрационный номер № 1-01-35075-E-003D). Общее количество размещенных дополнительных обыкновенных акций составило 15 588 811 340 штук.</w:t>
      </w:r>
    </w:p>
    <w:p w:rsidR="00D86260" w:rsidRPr="00B369F9" w:rsidRDefault="00D86260" w:rsidP="00D86260">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Годовым Общим собранием акционеров Общества (протокол от 07.06.2023 № 27) принято решение об увеличении уставного капитала Общества путем размещения дополнительных обыкновенных акций в количестве 10 705 462 997 штук номинальной стоимостью 1 руб. каждая. </w:t>
      </w:r>
    </w:p>
    <w:p w:rsidR="00D86260" w:rsidRPr="00B369F9" w:rsidRDefault="00D86260" w:rsidP="00D86260">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Банком России 14.09.2023 осуществлена государственная регистрация дополнительного выпуска обыкновенных акций АО «Чеченэнерго», размещаемых путем закрытой подписки (регистрационный номер № 1-01-35075-E-004D). Количество ценных бумаг дополнительного выпуска составляет 10 705 462 997 штук.</w:t>
      </w:r>
    </w:p>
    <w:p w:rsidR="004111E3" w:rsidRPr="00B369F9" w:rsidRDefault="004111E3" w:rsidP="004111E3">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Акции размещаются на следующих условиях:</w:t>
      </w:r>
    </w:p>
    <w:p w:rsidR="004111E3" w:rsidRPr="00B369F9" w:rsidRDefault="004111E3" w:rsidP="004111E3">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 способ размещения: закрытая подписка, круг лиц </w:t>
      </w:r>
      <w:r w:rsidR="000F355E">
        <w:rPr>
          <w:rFonts w:ascii="Times New Roman" w:eastAsia="Calibri" w:hAnsi="Times New Roman" w:cs="Times New Roman"/>
          <w:sz w:val="24"/>
          <w:szCs w:val="24"/>
        </w:rPr>
        <w:t>–</w:t>
      </w:r>
      <w:r w:rsidRPr="00B369F9">
        <w:rPr>
          <w:rFonts w:ascii="Times New Roman" w:eastAsia="Calibri" w:hAnsi="Times New Roman" w:cs="Times New Roman"/>
          <w:sz w:val="24"/>
          <w:szCs w:val="24"/>
        </w:rPr>
        <w:t xml:space="preserve"> ПАО «Россети»;</w:t>
      </w:r>
    </w:p>
    <w:p w:rsidR="004111E3" w:rsidRPr="00B369F9" w:rsidRDefault="004111E3" w:rsidP="004111E3">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цена размещения: 1 руб</w:t>
      </w:r>
      <w:r w:rsidR="00F14FAB" w:rsidRPr="00B369F9">
        <w:rPr>
          <w:rFonts w:ascii="Times New Roman" w:eastAsia="Calibri" w:hAnsi="Times New Roman" w:cs="Times New Roman"/>
          <w:sz w:val="24"/>
          <w:szCs w:val="24"/>
        </w:rPr>
        <w:t>.</w:t>
      </w:r>
      <w:r w:rsidRPr="00B369F9">
        <w:rPr>
          <w:rFonts w:ascii="Times New Roman" w:eastAsia="Calibri" w:hAnsi="Times New Roman" w:cs="Times New Roman"/>
          <w:sz w:val="24"/>
          <w:szCs w:val="24"/>
        </w:rPr>
        <w:t xml:space="preserve"> (решение Совета директоров АО «Чеченэнерго» от 28.08.2023, протокол от 28.08.2023 № 309);</w:t>
      </w:r>
    </w:p>
    <w:p w:rsidR="004111E3" w:rsidRPr="00B369F9" w:rsidRDefault="004111E3" w:rsidP="004B18AB">
      <w:pPr>
        <w:spacing w:after="0" w:line="240" w:lineRule="auto"/>
        <w:ind w:right="-142"/>
        <w:contextualSpacing/>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ab/>
        <w:t xml:space="preserve">- форма оплаты: денежными средствами в </w:t>
      </w:r>
      <w:r w:rsidR="00C42A1B" w:rsidRPr="00B369F9">
        <w:rPr>
          <w:rFonts w:ascii="Times New Roman" w:eastAsia="Calibri" w:hAnsi="Times New Roman" w:cs="Times New Roman"/>
          <w:sz w:val="24"/>
          <w:szCs w:val="24"/>
        </w:rPr>
        <w:t>руб</w:t>
      </w:r>
      <w:r w:rsidR="00BC48AA">
        <w:rPr>
          <w:rFonts w:ascii="Times New Roman" w:eastAsia="Calibri" w:hAnsi="Times New Roman" w:cs="Times New Roman"/>
          <w:sz w:val="24"/>
          <w:szCs w:val="24"/>
        </w:rPr>
        <w:t>лях</w:t>
      </w:r>
      <w:r w:rsidR="004B18AB">
        <w:rPr>
          <w:rFonts w:ascii="Times New Roman" w:eastAsia="Calibri" w:hAnsi="Times New Roman" w:cs="Times New Roman"/>
          <w:sz w:val="24"/>
          <w:szCs w:val="24"/>
        </w:rPr>
        <w:t xml:space="preserve"> Российской Федерации в </w:t>
      </w:r>
      <w:r w:rsidRPr="00B369F9">
        <w:rPr>
          <w:rFonts w:ascii="Times New Roman" w:eastAsia="Calibri" w:hAnsi="Times New Roman" w:cs="Times New Roman"/>
          <w:sz w:val="24"/>
          <w:szCs w:val="24"/>
        </w:rPr>
        <w:t>безналичной форме.</w:t>
      </w:r>
    </w:p>
    <w:p w:rsidR="00D86260" w:rsidRPr="00B369F9" w:rsidRDefault="00D86260" w:rsidP="00D86260">
      <w:pPr>
        <w:spacing w:after="0" w:line="240" w:lineRule="auto"/>
        <w:ind w:firstLine="708"/>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Эмиссия проводится с целью привлечения денежных средств для финансирования мероприятий Плана развития Общества.</w:t>
      </w:r>
    </w:p>
    <w:p w:rsidR="006E2FB6" w:rsidRPr="00B369F9" w:rsidRDefault="006E2FB6" w:rsidP="007C7C02">
      <w:pPr>
        <w:spacing w:after="0" w:line="240" w:lineRule="auto"/>
        <w:ind w:firstLine="708"/>
        <w:jc w:val="both"/>
        <w:rPr>
          <w:rFonts w:ascii="Times New Roman" w:eastAsia="Calibri" w:hAnsi="Times New Roman" w:cs="Times New Roman"/>
          <w:iCs/>
          <w:sz w:val="24"/>
          <w:szCs w:val="24"/>
        </w:rPr>
      </w:pPr>
      <w:r w:rsidRPr="00B369F9">
        <w:rPr>
          <w:rFonts w:ascii="Times New Roman" w:eastAsia="Calibri" w:hAnsi="Times New Roman" w:cs="Times New Roman"/>
          <w:sz w:val="24"/>
          <w:szCs w:val="24"/>
        </w:rPr>
        <w:t xml:space="preserve">Акции Общества на фондовом рынке не обращаются. Вывод акций Общества на фондовый рынок в ближайшее время не планируется. </w:t>
      </w:r>
      <w:r w:rsidRPr="00B369F9">
        <w:rPr>
          <w:rFonts w:ascii="Times New Roman" w:eastAsia="Calibri" w:hAnsi="Times New Roman" w:cs="Times New Roman"/>
          <w:iCs/>
          <w:sz w:val="24"/>
          <w:szCs w:val="24"/>
        </w:rPr>
        <w:t>В 202</w:t>
      </w:r>
      <w:r w:rsidR="00D86260" w:rsidRPr="00B369F9">
        <w:rPr>
          <w:rFonts w:ascii="Times New Roman" w:eastAsia="Calibri" w:hAnsi="Times New Roman" w:cs="Times New Roman"/>
          <w:iCs/>
          <w:sz w:val="24"/>
          <w:szCs w:val="24"/>
        </w:rPr>
        <w:t>3</w:t>
      </w:r>
      <w:r w:rsidRPr="00B369F9">
        <w:rPr>
          <w:rFonts w:ascii="Times New Roman" w:eastAsia="Calibri" w:hAnsi="Times New Roman" w:cs="Times New Roman"/>
          <w:iCs/>
          <w:sz w:val="24"/>
          <w:szCs w:val="24"/>
        </w:rPr>
        <w:t xml:space="preserve"> году Общество собственные акции не приобретало.</w:t>
      </w:r>
    </w:p>
    <w:p w:rsidR="006E2FB6" w:rsidRPr="00B369F9" w:rsidRDefault="006E2FB6" w:rsidP="007C7C02">
      <w:pPr>
        <w:spacing w:after="0" w:line="240" w:lineRule="auto"/>
        <w:ind w:firstLine="708"/>
        <w:jc w:val="both"/>
        <w:rPr>
          <w:rFonts w:ascii="Times New Roman" w:eastAsia="Calibri" w:hAnsi="Times New Roman" w:cs="Times New Roman"/>
          <w:bCs/>
          <w:iCs/>
          <w:sz w:val="24"/>
          <w:szCs w:val="24"/>
        </w:rPr>
      </w:pPr>
      <w:r w:rsidRPr="00B369F9">
        <w:rPr>
          <w:rFonts w:ascii="Times New Roman" w:eastAsia="Calibri" w:hAnsi="Times New Roman" w:cs="Times New Roman"/>
          <w:bCs/>
          <w:iCs/>
          <w:sz w:val="24"/>
          <w:szCs w:val="24"/>
        </w:rPr>
        <w:t>Каждая обыкновенная акция Общества предоставляет акционеру – ее владельцу одинаковый объем прав.</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Акционеры-владельцы обыкновенных акций Общества имеют право:</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участвовать лично или через представителей в Общем собрании акционеров Общества с правом голоса по всем вопросам его компетенции;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вносить предложения в повестку дня общего собрания в порядке, предусмотренном законодательством Российской Федерации и Уставом;</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xml:space="preserve">- получать информацию о деятельности Общества и знакомиться с документами Общества в соответствии со ст. 91 Федерального закона «Об акционерных обществах», иными нормативными правовыми актами и Уставом; </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получать дивиденды, объявленные Обществом;</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преимущественного приобретения размещаемых посредством закрытой подписки дополнительных акций и эмиссионных ценных бумаг, конвертируемых в акции, в количестве, пропорциональном количеству принадлежащих им обыкновенных акций, в случаях, предусмотренных законодательством Российской Федерации;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в случае ликвидации Общества получать часть его имущества;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обжаловать решения органов управления Общества, влекущие гражданско-правовые последствия, в случаях и в порядке, которые предусмотрены законодательством Российской Федерации;</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требовать возмещения причиненных Обществу убытков;</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оспаривать совершенные Обществом сделки по основаниям, предусмотренным законодательством Российской Федерации, и требовать применения последствий их недействительности, а также применения последствий недействительности ничтожных сделок Общества;</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lastRenderedPageBreak/>
        <w:t>- заключать между собой, а также с кредиторами Общества и иными третьими лицами договор об осуществлении корпоративных прав (корпоративный договор);</w:t>
      </w:r>
    </w:p>
    <w:p w:rsidR="006E2FB6" w:rsidRPr="00B369F9" w:rsidRDefault="006E2FB6" w:rsidP="007C7C02">
      <w:pPr>
        <w:widowControl w:val="0"/>
        <w:shd w:val="clear" w:color="auto" w:fill="FFFFFF"/>
        <w:tabs>
          <w:tab w:val="left" w:pos="914"/>
        </w:tabs>
        <w:autoSpaceDE w:val="0"/>
        <w:autoSpaceDN w:val="0"/>
        <w:adjustRightInd w:val="0"/>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 осуществлять иные права, предусмотренные законодательством Российской Федерации и Уставом.</w:t>
      </w:r>
    </w:p>
    <w:p w:rsidR="004F7EE7" w:rsidRPr="00B369F9" w:rsidRDefault="004F7EE7" w:rsidP="007C7C02">
      <w:pPr>
        <w:tabs>
          <w:tab w:val="left" w:pos="993"/>
        </w:tabs>
        <w:spacing w:after="0" w:line="240" w:lineRule="auto"/>
        <w:ind w:right="-142"/>
        <w:contextualSpacing/>
        <w:rPr>
          <w:rFonts w:ascii="Times New Roman" w:hAnsi="Times New Roman" w:cs="Times New Roman"/>
          <w:sz w:val="24"/>
          <w:szCs w:val="24"/>
        </w:rPr>
      </w:pPr>
    </w:p>
    <w:p w:rsidR="006E2FB6" w:rsidRPr="00B369F9" w:rsidRDefault="006E2FB6" w:rsidP="007C7C02">
      <w:pPr>
        <w:spacing w:after="0" w:line="240" w:lineRule="auto"/>
        <w:contextualSpacing/>
        <w:jc w:val="center"/>
        <w:rPr>
          <w:rFonts w:ascii="Times New Roman" w:eastAsia="Times New Roman" w:hAnsi="Times New Roman" w:cs="Times New Roman"/>
          <w:b/>
          <w:sz w:val="24"/>
          <w:szCs w:val="24"/>
          <w:lang w:eastAsia="ru-RU"/>
        </w:rPr>
      </w:pPr>
      <w:r w:rsidRPr="00B369F9">
        <w:rPr>
          <w:rFonts w:ascii="Times New Roman" w:eastAsia="Times New Roman" w:hAnsi="Times New Roman" w:cs="Times New Roman"/>
          <w:b/>
          <w:sz w:val="24"/>
          <w:szCs w:val="24"/>
          <w:lang w:eastAsia="ru-RU"/>
        </w:rPr>
        <w:t xml:space="preserve">Распределение прибыли </w:t>
      </w:r>
      <w:r w:rsidR="007739CE">
        <w:rPr>
          <w:rFonts w:ascii="Times New Roman" w:eastAsia="Times New Roman" w:hAnsi="Times New Roman" w:cs="Times New Roman"/>
          <w:b/>
          <w:sz w:val="24"/>
          <w:szCs w:val="24"/>
          <w:lang w:eastAsia="ru-RU"/>
        </w:rPr>
        <w:t>за</w:t>
      </w:r>
      <w:r w:rsidRPr="00B369F9">
        <w:rPr>
          <w:rFonts w:ascii="Times New Roman" w:eastAsia="Times New Roman" w:hAnsi="Times New Roman" w:cs="Times New Roman"/>
          <w:b/>
          <w:sz w:val="24"/>
          <w:szCs w:val="24"/>
          <w:lang w:eastAsia="ru-RU"/>
        </w:rPr>
        <w:t xml:space="preserve"> 20</w:t>
      </w:r>
      <w:r w:rsidR="00F42DAF" w:rsidRPr="00B369F9">
        <w:rPr>
          <w:rFonts w:ascii="Times New Roman" w:eastAsia="Times New Roman" w:hAnsi="Times New Roman" w:cs="Times New Roman"/>
          <w:b/>
          <w:sz w:val="24"/>
          <w:szCs w:val="24"/>
          <w:lang w:eastAsia="ru-RU"/>
        </w:rPr>
        <w:t>20</w:t>
      </w:r>
      <w:r w:rsidRPr="00B369F9">
        <w:rPr>
          <w:rFonts w:ascii="Times New Roman" w:eastAsia="Times New Roman" w:hAnsi="Times New Roman" w:cs="Times New Roman"/>
          <w:b/>
          <w:sz w:val="24"/>
          <w:szCs w:val="24"/>
          <w:lang w:eastAsia="ru-RU"/>
        </w:rPr>
        <w:t>–202</w:t>
      </w:r>
      <w:r w:rsidR="00F42DAF" w:rsidRPr="00B369F9">
        <w:rPr>
          <w:rFonts w:ascii="Times New Roman" w:eastAsia="Times New Roman" w:hAnsi="Times New Roman" w:cs="Times New Roman"/>
          <w:b/>
          <w:sz w:val="24"/>
          <w:szCs w:val="24"/>
          <w:lang w:eastAsia="ru-RU"/>
        </w:rPr>
        <w:t>2</w:t>
      </w:r>
      <w:r w:rsidRPr="00B369F9">
        <w:rPr>
          <w:rFonts w:ascii="Times New Roman" w:eastAsia="Times New Roman" w:hAnsi="Times New Roman" w:cs="Times New Roman"/>
          <w:b/>
          <w:sz w:val="24"/>
          <w:szCs w:val="24"/>
          <w:lang w:eastAsia="ru-RU"/>
        </w:rPr>
        <w:t xml:space="preserve"> гг., тыс. руб.</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603"/>
        <w:gridCol w:w="1532"/>
        <w:gridCol w:w="1579"/>
        <w:gridCol w:w="1630"/>
      </w:tblGrid>
      <w:tr w:rsidR="00CF2E7F" w:rsidRPr="009C25EB" w:rsidTr="002F2F68">
        <w:trPr>
          <w:trHeight w:val="340"/>
          <w:tblHeader/>
          <w:jc w:val="center"/>
        </w:trPr>
        <w:tc>
          <w:tcPr>
            <w:tcW w:w="2463"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Наименование</w:t>
            </w:r>
          </w:p>
        </w:tc>
        <w:tc>
          <w:tcPr>
            <w:tcW w:w="820"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За 2020 год</w:t>
            </w:r>
          </w:p>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(ГОСА 2021)</w:t>
            </w:r>
          </w:p>
        </w:tc>
        <w:tc>
          <w:tcPr>
            <w:tcW w:w="845"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За 2021 год (ГОСА 2022)</w:t>
            </w:r>
          </w:p>
        </w:tc>
        <w:tc>
          <w:tcPr>
            <w:tcW w:w="872" w:type="pct"/>
            <w:tcMar>
              <w:top w:w="0" w:type="dxa"/>
              <w:left w:w="108" w:type="dxa"/>
              <w:bottom w:w="0" w:type="dxa"/>
              <w:right w:w="108" w:type="dxa"/>
            </w:tcMar>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За 2022 год (ГОСА 2023)</w:t>
            </w:r>
          </w:p>
        </w:tc>
      </w:tr>
      <w:tr w:rsidR="00CF2E7F" w:rsidRPr="009C25EB" w:rsidTr="002F2F68">
        <w:trPr>
          <w:trHeight w:val="483"/>
          <w:jc w:val="center"/>
        </w:trPr>
        <w:tc>
          <w:tcPr>
            <w:tcW w:w="2463" w:type="pct"/>
          </w:tcPr>
          <w:p w:rsidR="00CF2E7F" w:rsidRPr="009C25EB" w:rsidRDefault="00CF2E7F" w:rsidP="00CF2E7F">
            <w:pPr>
              <w:tabs>
                <w:tab w:val="left" w:pos="142"/>
              </w:tabs>
              <w:spacing w:after="0" w:line="240" w:lineRule="auto"/>
              <w:jc w:val="both"/>
              <w:rPr>
                <w:rFonts w:ascii="Times New Roman" w:eastAsia="Calibri" w:hAnsi="Times New Roman" w:cs="Times New Roman"/>
                <w:sz w:val="20"/>
                <w:szCs w:val="20"/>
              </w:rPr>
            </w:pPr>
            <w:r w:rsidRPr="009C25EB">
              <w:rPr>
                <w:rFonts w:ascii="Times New Roman" w:eastAsia="Calibri" w:hAnsi="Times New Roman" w:cs="Times New Roman"/>
                <w:sz w:val="20"/>
                <w:szCs w:val="20"/>
              </w:rPr>
              <w:t>Нераспределенная прибыль (убыток) отчетного периода, в том числе:</w:t>
            </w:r>
          </w:p>
        </w:tc>
        <w:tc>
          <w:tcPr>
            <w:tcW w:w="820"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-2 890 877</w:t>
            </w:r>
          </w:p>
        </w:tc>
        <w:tc>
          <w:tcPr>
            <w:tcW w:w="845"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-2 720 670</w:t>
            </w:r>
          </w:p>
        </w:tc>
        <w:tc>
          <w:tcPr>
            <w:tcW w:w="872" w:type="pct"/>
            <w:tcMar>
              <w:top w:w="0" w:type="dxa"/>
              <w:left w:w="108" w:type="dxa"/>
              <w:bottom w:w="0" w:type="dxa"/>
              <w:right w:w="108" w:type="dxa"/>
            </w:tcMar>
            <w:vAlign w:val="center"/>
          </w:tcPr>
          <w:p w:rsidR="00CF2E7F" w:rsidRPr="009C25EB" w:rsidRDefault="007739CE" w:rsidP="007739CE">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-1 561 110</w:t>
            </w:r>
          </w:p>
        </w:tc>
      </w:tr>
      <w:tr w:rsidR="00CF2E7F" w:rsidRPr="009C25EB" w:rsidTr="002F2F68">
        <w:trPr>
          <w:trHeight w:val="280"/>
          <w:jc w:val="center"/>
        </w:trPr>
        <w:tc>
          <w:tcPr>
            <w:tcW w:w="2463" w:type="pct"/>
          </w:tcPr>
          <w:p w:rsidR="00CF2E7F" w:rsidRPr="009C25EB" w:rsidRDefault="00CF2E7F" w:rsidP="00CF2E7F">
            <w:pPr>
              <w:tabs>
                <w:tab w:val="left" w:pos="142"/>
              </w:tabs>
              <w:spacing w:after="0" w:line="240" w:lineRule="auto"/>
              <w:jc w:val="both"/>
              <w:rPr>
                <w:rFonts w:ascii="Times New Roman" w:eastAsia="Calibri" w:hAnsi="Times New Roman" w:cs="Times New Roman"/>
                <w:sz w:val="20"/>
                <w:szCs w:val="20"/>
              </w:rPr>
            </w:pPr>
            <w:r w:rsidRPr="009C25EB">
              <w:rPr>
                <w:rFonts w:ascii="Times New Roman" w:eastAsia="Calibri" w:hAnsi="Times New Roman" w:cs="Times New Roman"/>
                <w:sz w:val="20"/>
                <w:szCs w:val="20"/>
              </w:rPr>
              <w:t>Резервный фонд</w:t>
            </w:r>
          </w:p>
        </w:tc>
        <w:tc>
          <w:tcPr>
            <w:tcW w:w="820"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45"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r>
      <w:tr w:rsidR="00CF2E7F" w:rsidRPr="009C25EB" w:rsidTr="002F2F68">
        <w:trPr>
          <w:trHeight w:val="280"/>
          <w:jc w:val="center"/>
        </w:trPr>
        <w:tc>
          <w:tcPr>
            <w:tcW w:w="2463" w:type="pct"/>
          </w:tcPr>
          <w:p w:rsidR="00CF2E7F" w:rsidRPr="009C25EB" w:rsidRDefault="00CF2E7F" w:rsidP="00CF2E7F">
            <w:pPr>
              <w:tabs>
                <w:tab w:val="left" w:pos="142"/>
              </w:tabs>
              <w:spacing w:after="0" w:line="240" w:lineRule="auto"/>
              <w:jc w:val="both"/>
              <w:rPr>
                <w:rFonts w:ascii="Times New Roman" w:eastAsia="Calibri" w:hAnsi="Times New Roman" w:cs="Times New Roman"/>
                <w:sz w:val="20"/>
                <w:szCs w:val="20"/>
              </w:rPr>
            </w:pPr>
            <w:r w:rsidRPr="009C25EB">
              <w:rPr>
                <w:rFonts w:ascii="Times New Roman" w:eastAsia="Calibri" w:hAnsi="Times New Roman" w:cs="Times New Roman"/>
                <w:sz w:val="20"/>
                <w:szCs w:val="20"/>
              </w:rPr>
              <w:t>Прибыль на развитие</w:t>
            </w:r>
          </w:p>
        </w:tc>
        <w:tc>
          <w:tcPr>
            <w:tcW w:w="820"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45"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r>
      <w:tr w:rsidR="00CF2E7F" w:rsidRPr="009C25EB" w:rsidTr="002F2F68">
        <w:trPr>
          <w:trHeight w:val="280"/>
          <w:jc w:val="center"/>
        </w:trPr>
        <w:tc>
          <w:tcPr>
            <w:tcW w:w="2463" w:type="pct"/>
          </w:tcPr>
          <w:p w:rsidR="00CF2E7F" w:rsidRPr="009C25EB" w:rsidRDefault="00CF2E7F" w:rsidP="00CF2E7F">
            <w:pPr>
              <w:tabs>
                <w:tab w:val="left" w:pos="142"/>
              </w:tabs>
              <w:spacing w:after="0" w:line="240" w:lineRule="auto"/>
              <w:jc w:val="both"/>
              <w:rPr>
                <w:rFonts w:ascii="Times New Roman" w:eastAsia="Calibri" w:hAnsi="Times New Roman" w:cs="Times New Roman"/>
                <w:sz w:val="20"/>
                <w:szCs w:val="20"/>
              </w:rPr>
            </w:pPr>
            <w:r w:rsidRPr="009C25EB">
              <w:rPr>
                <w:rFonts w:ascii="Times New Roman" w:eastAsia="Calibri" w:hAnsi="Times New Roman" w:cs="Times New Roman"/>
                <w:sz w:val="20"/>
                <w:szCs w:val="20"/>
              </w:rPr>
              <w:t>Дивиденды</w:t>
            </w:r>
          </w:p>
        </w:tc>
        <w:tc>
          <w:tcPr>
            <w:tcW w:w="820"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45" w:type="pct"/>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c>
          <w:tcPr>
            <w:tcW w:w="872" w:type="pct"/>
            <w:tcMar>
              <w:top w:w="0" w:type="dxa"/>
              <w:left w:w="108" w:type="dxa"/>
              <w:bottom w:w="0" w:type="dxa"/>
              <w:right w:w="108" w:type="dxa"/>
            </w:tcMar>
            <w:vAlign w:val="center"/>
          </w:tcPr>
          <w:p w:rsidR="00CF2E7F" w:rsidRPr="009C25EB" w:rsidRDefault="00CF2E7F" w:rsidP="00CF2E7F">
            <w:pPr>
              <w:spacing w:after="0" w:line="240" w:lineRule="auto"/>
              <w:jc w:val="center"/>
              <w:rPr>
                <w:rFonts w:ascii="Times New Roman" w:eastAsia="Times New Roman" w:hAnsi="Times New Roman" w:cs="Times New Roman"/>
                <w:sz w:val="20"/>
                <w:szCs w:val="20"/>
                <w:lang w:eastAsia="ru-RU"/>
              </w:rPr>
            </w:pPr>
            <w:r w:rsidRPr="009C25EB">
              <w:rPr>
                <w:rFonts w:ascii="Times New Roman" w:eastAsia="Times New Roman" w:hAnsi="Times New Roman" w:cs="Times New Roman"/>
                <w:sz w:val="20"/>
                <w:szCs w:val="20"/>
                <w:lang w:eastAsia="ru-RU"/>
              </w:rPr>
              <w:t>-</w:t>
            </w:r>
          </w:p>
        </w:tc>
      </w:tr>
      <w:tr w:rsidR="00CF2E7F" w:rsidRPr="009C25EB" w:rsidTr="002F2F68">
        <w:trPr>
          <w:trHeight w:val="282"/>
          <w:jc w:val="center"/>
        </w:trPr>
        <w:tc>
          <w:tcPr>
            <w:tcW w:w="2463" w:type="pct"/>
          </w:tcPr>
          <w:p w:rsidR="00CF2E7F" w:rsidRPr="009C25EB" w:rsidRDefault="00CF2E7F" w:rsidP="00CF2E7F">
            <w:pPr>
              <w:tabs>
                <w:tab w:val="left" w:pos="142"/>
              </w:tabs>
              <w:spacing w:after="0" w:line="240" w:lineRule="auto"/>
              <w:jc w:val="both"/>
              <w:rPr>
                <w:rFonts w:ascii="Times New Roman" w:eastAsia="Calibri" w:hAnsi="Times New Roman" w:cs="Times New Roman"/>
                <w:sz w:val="20"/>
                <w:szCs w:val="20"/>
              </w:rPr>
            </w:pPr>
            <w:r w:rsidRPr="009C25EB">
              <w:rPr>
                <w:rFonts w:ascii="Times New Roman" w:eastAsia="Calibri" w:hAnsi="Times New Roman" w:cs="Times New Roman"/>
                <w:sz w:val="20"/>
                <w:szCs w:val="20"/>
              </w:rPr>
              <w:t>Погашение убытков прошлых лет</w:t>
            </w:r>
          </w:p>
        </w:tc>
        <w:tc>
          <w:tcPr>
            <w:tcW w:w="820"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w:t>
            </w:r>
          </w:p>
        </w:tc>
        <w:tc>
          <w:tcPr>
            <w:tcW w:w="845" w:type="pct"/>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w:t>
            </w:r>
          </w:p>
        </w:tc>
        <w:tc>
          <w:tcPr>
            <w:tcW w:w="872" w:type="pct"/>
            <w:tcMar>
              <w:top w:w="0" w:type="dxa"/>
              <w:left w:w="108" w:type="dxa"/>
              <w:bottom w:w="0" w:type="dxa"/>
              <w:right w:w="108" w:type="dxa"/>
            </w:tcMar>
            <w:vAlign w:val="center"/>
          </w:tcPr>
          <w:p w:rsidR="00CF2E7F" w:rsidRPr="009C25EB" w:rsidRDefault="00CF2E7F" w:rsidP="00CF2E7F">
            <w:pPr>
              <w:spacing w:after="0" w:line="240" w:lineRule="auto"/>
              <w:jc w:val="center"/>
              <w:rPr>
                <w:rFonts w:ascii="Times New Roman" w:eastAsia="Calibri" w:hAnsi="Times New Roman" w:cs="Times New Roman"/>
                <w:sz w:val="20"/>
                <w:szCs w:val="20"/>
              </w:rPr>
            </w:pPr>
            <w:r w:rsidRPr="009C25EB">
              <w:rPr>
                <w:rFonts w:ascii="Times New Roman" w:eastAsia="Calibri" w:hAnsi="Times New Roman" w:cs="Times New Roman"/>
                <w:sz w:val="20"/>
                <w:szCs w:val="20"/>
              </w:rPr>
              <w:t>-</w:t>
            </w:r>
          </w:p>
        </w:tc>
      </w:tr>
    </w:tbl>
    <w:p w:rsidR="006E2FB6" w:rsidRPr="00B369F9" w:rsidRDefault="006E2FB6" w:rsidP="007C7C02">
      <w:pPr>
        <w:spacing w:after="0" w:line="240" w:lineRule="auto"/>
        <w:jc w:val="both"/>
        <w:rPr>
          <w:rFonts w:ascii="Times New Roman" w:eastAsia="Calibri" w:hAnsi="Times New Roman" w:cs="Times New Roman"/>
          <w:i/>
          <w:sz w:val="24"/>
          <w:szCs w:val="24"/>
        </w:rPr>
      </w:pPr>
      <w:r w:rsidRPr="00B369F9">
        <w:rPr>
          <w:rFonts w:ascii="Times New Roman" w:eastAsia="Calibri" w:hAnsi="Times New Roman" w:cs="Times New Roman"/>
          <w:i/>
          <w:sz w:val="24"/>
          <w:szCs w:val="24"/>
        </w:rPr>
        <w:t>* Информация о распределении прибыли в соответствии с решениями годовых общих собраний (ГОСА)</w:t>
      </w:r>
    </w:p>
    <w:p w:rsidR="006E2FB6" w:rsidRPr="00B369F9" w:rsidRDefault="006E2FB6" w:rsidP="007C7C02">
      <w:pPr>
        <w:spacing w:after="0" w:line="240" w:lineRule="auto"/>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ГОСА 2021 (за 2020 год) – протокол ГОСА от 20.05.2021 № 23</w:t>
      </w:r>
    </w:p>
    <w:p w:rsidR="00F42DAF" w:rsidRPr="00B369F9" w:rsidRDefault="00F42DAF" w:rsidP="007C7C02">
      <w:pPr>
        <w:spacing w:after="0" w:line="240" w:lineRule="auto"/>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ГОСА 2022 (за 2021 год) – протокол ГОСА о</w:t>
      </w:r>
      <w:r w:rsidR="00CF2E7F" w:rsidRPr="00B369F9">
        <w:rPr>
          <w:rFonts w:ascii="Times New Roman" w:eastAsia="Times New Roman" w:hAnsi="Times New Roman" w:cs="Times New Roman"/>
          <w:sz w:val="24"/>
          <w:szCs w:val="24"/>
          <w:lang w:eastAsia="ru-RU"/>
        </w:rPr>
        <w:t>т</w:t>
      </w:r>
      <w:r w:rsidRPr="00B369F9">
        <w:rPr>
          <w:rFonts w:ascii="Times New Roman" w:eastAsia="Times New Roman" w:hAnsi="Times New Roman" w:cs="Times New Roman"/>
          <w:sz w:val="24"/>
          <w:szCs w:val="24"/>
          <w:lang w:eastAsia="ru-RU"/>
        </w:rPr>
        <w:t xml:space="preserve"> 22.06.2022 № 25</w:t>
      </w:r>
    </w:p>
    <w:p w:rsidR="00CF2E7F" w:rsidRPr="00B369F9" w:rsidRDefault="00CF2E7F" w:rsidP="007C7C02">
      <w:pPr>
        <w:spacing w:after="0" w:line="240" w:lineRule="auto"/>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ГОСА 2023 (за 2022 год) – протокол ГОСА от 07.06.2023 № 27</w:t>
      </w:r>
    </w:p>
    <w:p w:rsidR="006E2FB6" w:rsidRPr="00B369F9" w:rsidRDefault="006E2FB6" w:rsidP="007C7C02">
      <w:pPr>
        <w:spacing w:after="0" w:line="240" w:lineRule="auto"/>
        <w:ind w:firstLine="709"/>
        <w:jc w:val="both"/>
        <w:rPr>
          <w:rFonts w:ascii="Times New Roman" w:eastAsia="Calibri" w:hAnsi="Times New Roman" w:cs="Times New Roman"/>
          <w:sz w:val="24"/>
          <w:szCs w:val="24"/>
        </w:rPr>
      </w:pPr>
      <w:r w:rsidRPr="00B369F9">
        <w:rPr>
          <w:rFonts w:ascii="Times New Roman" w:eastAsia="Calibri" w:hAnsi="Times New Roman" w:cs="Times New Roman"/>
          <w:sz w:val="24"/>
          <w:szCs w:val="24"/>
        </w:rPr>
        <w:t>В соответствии с Уставом Общества решение о распределении прибыли по итогам 202</w:t>
      </w:r>
      <w:r w:rsidR="00CF2E7F" w:rsidRPr="00B369F9">
        <w:rPr>
          <w:rFonts w:ascii="Times New Roman" w:eastAsia="Calibri" w:hAnsi="Times New Roman" w:cs="Times New Roman"/>
          <w:sz w:val="24"/>
          <w:szCs w:val="24"/>
        </w:rPr>
        <w:t>3</w:t>
      </w:r>
      <w:r w:rsidRPr="00B369F9">
        <w:rPr>
          <w:rFonts w:ascii="Times New Roman" w:eastAsia="Calibri" w:hAnsi="Times New Roman" w:cs="Times New Roman"/>
          <w:sz w:val="24"/>
          <w:szCs w:val="24"/>
        </w:rPr>
        <w:t xml:space="preserve"> года будет принято по итогам решения годового общего собрания акционеров (ГОСА).</w:t>
      </w:r>
    </w:p>
    <w:p w:rsidR="006E2FB6" w:rsidRPr="00B369F9" w:rsidRDefault="006E2FB6" w:rsidP="007C7C02">
      <w:pPr>
        <w:tabs>
          <w:tab w:val="left" w:pos="993"/>
        </w:tabs>
        <w:spacing w:after="0" w:line="240" w:lineRule="auto"/>
        <w:ind w:firstLine="709"/>
        <w:jc w:val="both"/>
        <w:rPr>
          <w:rFonts w:ascii="Times New Roman" w:hAnsi="Times New Roman" w:cs="Times New Roman"/>
          <w:sz w:val="24"/>
          <w:szCs w:val="24"/>
        </w:rPr>
      </w:pPr>
      <w:r w:rsidRPr="00B369F9">
        <w:rPr>
          <w:rFonts w:ascii="Times New Roman" w:eastAsia="Times New Roman" w:hAnsi="Times New Roman" w:cs="Times New Roman"/>
          <w:sz w:val="24"/>
          <w:szCs w:val="24"/>
          <w:lang w:eastAsia="ru-RU"/>
        </w:rPr>
        <w:t>Распределение прибыли по итогам 20</w:t>
      </w:r>
      <w:r w:rsidR="00CF2E7F" w:rsidRPr="00B369F9">
        <w:rPr>
          <w:rFonts w:ascii="Times New Roman" w:eastAsia="Times New Roman" w:hAnsi="Times New Roman" w:cs="Times New Roman"/>
          <w:sz w:val="24"/>
          <w:szCs w:val="24"/>
          <w:lang w:eastAsia="ru-RU"/>
        </w:rPr>
        <w:t>20</w:t>
      </w:r>
      <w:r w:rsidRPr="00B369F9">
        <w:rPr>
          <w:rFonts w:ascii="Times New Roman" w:eastAsia="Times New Roman" w:hAnsi="Times New Roman" w:cs="Times New Roman"/>
          <w:sz w:val="24"/>
          <w:szCs w:val="24"/>
          <w:lang w:eastAsia="ru-RU"/>
        </w:rPr>
        <w:t>-202</w:t>
      </w:r>
      <w:r w:rsidR="00CF2E7F" w:rsidRPr="00B369F9">
        <w:rPr>
          <w:rFonts w:ascii="Times New Roman" w:eastAsia="Times New Roman" w:hAnsi="Times New Roman" w:cs="Times New Roman"/>
          <w:sz w:val="24"/>
          <w:szCs w:val="24"/>
          <w:lang w:eastAsia="ru-RU"/>
        </w:rPr>
        <w:t>2</w:t>
      </w:r>
      <w:r w:rsidRPr="00B369F9">
        <w:rPr>
          <w:rFonts w:ascii="Times New Roman" w:eastAsia="Times New Roman" w:hAnsi="Times New Roman" w:cs="Times New Roman"/>
          <w:sz w:val="24"/>
          <w:szCs w:val="24"/>
          <w:lang w:eastAsia="ru-RU"/>
        </w:rPr>
        <w:t xml:space="preserve"> гг. не проводилось ввиду получения Обществом убытков. В 20</w:t>
      </w:r>
      <w:r w:rsidR="00576B91" w:rsidRPr="00B369F9">
        <w:rPr>
          <w:rFonts w:ascii="Times New Roman" w:eastAsia="Times New Roman" w:hAnsi="Times New Roman" w:cs="Times New Roman"/>
          <w:sz w:val="24"/>
          <w:szCs w:val="24"/>
          <w:lang w:eastAsia="ru-RU"/>
        </w:rPr>
        <w:t>2</w:t>
      </w:r>
      <w:r w:rsidR="00CF2E7F" w:rsidRPr="00B369F9">
        <w:rPr>
          <w:rFonts w:ascii="Times New Roman" w:eastAsia="Times New Roman" w:hAnsi="Times New Roman" w:cs="Times New Roman"/>
          <w:sz w:val="24"/>
          <w:szCs w:val="24"/>
          <w:lang w:eastAsia="ru-RU"/>
        </w:rPr>
        <w:t>1</w:t>
      </w:r>
      <w:r w:rsidRPr="00B369F9">
        <w:rPr>
          <w:rFonts w:ascii="Times New Roman" w:eastAsia="Times New Roman" w:hAnsi="Times New Roman" w:cs="Times New Roman"/>
          <w:sz w:val="24"/>
          <w:szCs w:val="24"/>
          <w:lang w:eastAsia="ru-RU"/>
        </w:rPr>
        <w:t>-202</w:t>
      </w:r>
      <w:r w:rsidR="00CF2E7F" w:rsidRPr="00B369F9">
        <w:rPr>
          <w:rFonts w:ascii="Times New Roman" w:eastAsia="Times New Roman" w:hAnsi="Times New Roman" w:cs="Times New Roman"/>
          <w:sz w:val="24"/>
          <w:szCs w:val="24"/>
          <w:lang w:eastAsia="ru-RU"/>
        </w:rPr>
        <w:t>3</w:t>
      </w:r>
      <w:r w:rsidRPr="00B369F9">
        <w:rPr>
          <w:rFonts w:ascii="Times New Roman" w:eastAsia="Times New Roman" w:hAnsi="Times New Roman" w:cs="Times New Roman"/>
          <w:sz w:val="24"/>
          <w:szCs w:val="24"/>
          <w:lang w:eastAsia="ru-RU"/>
        </w:rPr>
        <w:t xml:space="preserve"> гг. Общими собраниями акционеров Общества не принимались решения о выплате (объявлении) дивидендов, дивиденды не начислялись и не выплачивались.</w:t>
      </w:r>
    </w:p>
    <w:p w:rsidR="006E2FB6" w:rsidRPr="00B369F9" w:rsidRDefault="006E2FB6" w:rsidP="007C7C02">
      <w:pPr>
        <w:spacing w:after="0" w:line="240" w:lineRule="auto"/>
        <w:ind w:right="-143" w:firstLine="709"/>
        <w:jc w:val="both"/>
        <w:rPr>
          <w:rFonts w:ascii="Times New Roman" w:eastAsia="Times New Roman" w:hAnsi="Times New Roman" w:cs="Times New Roman"/>
          <w:sz w:val="24"/>
          <w:szCs w:val="24"/>
          <w:lang w:eastAsia="ru-RU"/>
        </w:rPr>
      </w:pPr>
      <w:r w:rsidRPr="00B369F9">
        <w:rPr>
          <w:rFonts w:ascii="Times New Roman" w:eastAsia="Times New Roman" w:hAnsi="Times New Roman" w:cs="Times New Roman"/>
          <w:sz w:val="24"/>
          <w:szCs w:val="24"/>
          <w:lang w:eastAsia="ru-RU"/>
        </w:rPr>
        <w:t>По итогам 202</w:t>
      </w:r>
      <w:r w:rsidR="00CF2E7F" w:rsidRPr="00B369F9">
        <w:rPr>
          <w:rFonts w:ascii="Times New Roman" w:eastAsia="Times New Roman" w:hAnsi="Times New Roman" w:cs="Times New Roman"/>
          <w:sz w:val="24"/>
          <w:szCs w:val="24"/>
          <w:lang w:eastAsia="ru-RU"/>
        </w:rPr>
        <w:t>3</w:t>
      </w:r>
      <w:r w:rsidRPr="00B369F9">
        <w:rPr>
          <w:rFonts w:ascii="Times New Roman" w:eastAsia="Times New Roman" w:hAnsi="Times New Roman" w:cs="Times New Roman"/>
          <w:sz w:val="24"/>
          <w:szCs w:val="24"/>
          <w:lang w:eastAsia="ru-RU"/>
        </w:rPr>
        <w:t xml:space="preserve"> года Обществом также получен убыток. </w:t>
      </w:r>
      <w:r w:rsidR="007739CE">
        <w:rPr>
          <w:rFonts w:ascii="Times New Roman" w:eastAsia="Times New Roman" w:hAnsi="Times New Roman" w:cs="Times New Roman"/>
          <w:sz w:val="24"/>
          <w:szCs w:val="24"/>
          <w:lang w:eastAsia="ru-RU"/>
        </w:rPr>
        <w:t>Вопрос</w:t>
      </w:r>
      <w:r w:rsidRPr="00B369F9">
        <w:rPr>
          <w:rFonts w:ascii="Times New Roman" w:eastAsia="Times New Roman" w:hAnsi="Times New Roman" w:cs="Times New Roman"/>
          <w:sz w:val="24"/>
          <w:szCs w:val="24"/>
          <w:lang w:eastAsia="ru-RU"/>
        </w:rPr>
        <w:t xml:space="preserve"> о распределении чистой прибыли Общества по итогам 202</w:t>
      </w:r>
      <w:r w:rsidR="00CF2E7F" w:rsidRPr="00B369F9">
        <w:rPr>
          <w:rFonts w:ascii="Times New Roman" w:eastAsia="Times New Roman" w:hAnsi="Times New Roman" w:cs="Times New Roman"/>
          <w:sz w:val="24"/>
          <w:szCs w:val="24"/>
          <w:lang w:eastAsia="ru-RU"/>
        </w:rPr>
        <w:t>3</w:t>
      </w:r>
      <w:r w:rsidRPr="00B369F9">
        <w:rPr>
          <w:rFonts w:ascii="Times New Roman" w:eastAsia="Times New Roman" w:hAnsi="Times New Roman" w:cs="Times New Roman"/>
          <w:sz w:val="24"/>
          <w:szCs w:val="24"/>
          <w:lang w:eastAsia="ru-RU"/>
        </w:rPr>
        <w:t xml:space="preserve"> года будет </w:t>
      </w:r>
      <w:r w:rsidR="007739CE">
        <w:rPr>
          <w:rFonts w:ascii="Times New Roman" w:eastAsia="Times New Roman" w:hAnsi="Times New Roman" w:cs="Times New Roman"/>
          <w:sz w:val="24"/>
          <w:szCs w:val="24"/>
          <w:lang w:eastAsia="ru-RU"/>
        </w:rPr>
        <w:t>рассмотрен</w:t>
      </w:r>
      <w:r w:rsidRPr="00B369F9">
        <w:rPr>
          <w:rFonts w:ascii="Times New Roman" w:eastAsia="Times New Roman" w:hAnsi="Times New Roman" w:cs="Times New Roman"/>
          <w:sz w:val="24"/>
          <w:szCs w:val="24"/>
          <w:lang w:eastAsia="ru-RU"/>
        </w:rPr>
        <w:t xml:space="preserve"> на годовом Общем собрании акционеров с учетом рекомендаций Совета директоров Общества. </w:t>
      </w:r>
    </w:p>
    <w:p w:rsidR="00F86DFD" w:rsidRDefault="00F86DFD" w:rsidP="00165659">
      <w:pPr>
        <w:keepNext/>
        <w:suppressAutoHyphens/>
        <w:spacing w:after="0" w:line="240" w:lineRule="auto"/>
        <w:ind w:firstLine="709"/>
        <w:jc w:val="both"/>
        <w:outlineLvl w:val="0"/>
        <w:rPr>
          <w:rFonts w:ascii="Times New Roman" w:hAnsi="Times New Roman" w:cs="Times New Roman"/>
          <w:b/>
          <w:sz w:val="24"/>
          <w:szCs w:val="24"/>
        </w:rPr>
      </w:pPr>
    </w:p>
    <w:p w:rsidR="00165659" w:rsidRPr="00B369F9" w:rsidRDefault="00165659" w:rsidP="007C4552">
      <w:pPr>
        <w:keepNext/>
        <w:suppressAutoHyphens/>
        <w:spacing w:after="0" w:line="240" w:lineRule="auto"/>
        <w:ind w:firstLine="709"/>
        <w:jc w:val="both"/>
        <w:outlineLvl w:val="0"/>
        <w:rPr>
          <w:rFonts w:ascii="Times New Roman" w:eastAsia="Times New Roman" w:hAnsi="Times New Roman" w:cs="Times New Roman"/>
          <w:sz w:val="24"/>
          <w:szCs w:val="24"/>
          <w:lang w:eastAsia="ru-RU"/>
        </w:rPr>
      </w:pPr>
      <w:bookmarkStart w:id="60" w:name="_Toc163738887"/>
      <w:r w:rsidRPr="00B369F9">
        <w:rPr>
          <w:rFonts w:ascii="Times New Roman" w:hAnsi="Times New Roman" w:cs="Times New Roman"/>
          <w:b/>
          <w:sz w:val="24"/>
          <w:szCs w:val="24"/>
        </w:rPr>
        <w:t xml:space="preserve">Информация об участии </w:t>
      </w:r>
      <w:r w:rsidR="007739CE">
        <w:rPr>
          <w:rFonts w:ascii="Times New Roman" w:hAnsi="Times New Roman" w:cs="Times New Roman"/>
          <w:b/>
          <w:sz w:val="24"/>
          <w:szCs w:val="24"/>
        </w:rPr>
        <w:t xml:space="preserve">Общества </w:t>
      </w:r>
      <w:r w:rsidRPr="00B369F9">
        <w:rPr>
          <w:rFonts w:ascii="Times New Roman" w:hAnsi="Times New Roman" w:cs="Times New Roman"/>
          <w:b/>
          <w:sz w:val="24"/>
          <w:szCs w:val="24"/>
        </w:rPr>
        <w:t>в некоммерческих организациях в 2023 году</w:t>
      </w:r>
      <w:bookmarkEnd w:id="60"/>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2552"/>
        <w:gridCol w:w="2835"/>
        <w:gridCol w:w="3685"/>
      </w:tblGrid>
      <w:tr w:rsidR="00165659" w:rsidRPr="009D5C51" w:rsidTr="009C25EB">
        <w:trPr>
          <w:trHeight w:val="690"/>
          <w:jc w:val="center"/>
        </w:trPr>
        <w:tc>
          <w:tcPr>
            <w:tcW w:w="1838"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Наименование НКО</w:t>
            </w:r>
          </w:p>
        </w:tc>
        <w:tc>
          <w:tcPr>
            <w:tcW w:w="2552"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Основные сведения об организации (виды деятельности)</w:t>
            </w:r>
          </w:p>
        </w:tc>
        <w:tc>
          <w:tcPr>
            <w:tcW w:w="2835"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Цель участия</w:t>
            </w:r>
          </w:p>
        </w:tc>
        <w:tc>
          <w:tcPr>
            <w:tcW w:w="3685"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u w:val="single"/>
                <w:lang w:eastAsia="ru-RU"/>
              </w:rPr>
            </w:pPr>
            <w:r w:rsidRPr="009D5C51">
              <w:rPr>
                <w:rFonts w:ascii="Times New Roman" w:eastAsia="Times New Roman" w:hAnsi="Times New Roman" w:cs="Times New Roman"/>
                <w:sz w:val="18"/>
                <w:szCs w:val="18"/>
                <w:lang w:eastAsia="ru-RU"/>
              </w:rPr>
              <w:t>Финансовые параметры участия (виды платежей / сумма, тыс. руб.)</w:t>
            </w:r>
          </w:p>
        </w:tc>
      </w:tr>
      <w:tr w:rsidR="00165659" w:rsidRPr="009D5C51" w:rsidTr="009C25EB">
        <w:trPr>
          <w:trHeight w:val="58"/>
          <w:jc w:val="center"/>
        </w:trPr>
        <w:tc>
          <w:tcPr>
            <w:tcW w:w="1838"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1</w:t>
            </w:r>
          </w:p>
        </w:tc>
        <w:tc>
          <w:tcPr>
            <w:tcW w:w="2552"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2</w:t>
            </w:r>
          </w:p>
        </w:tc>
        <w:tc>
          <w:tcPr>
            <w:tcW w:w="2835"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3</w:t>
            </w:r>
          </w:p>
        </w:tc>
        <w:tc>
          <w:tcPr>
            <w:tcW w:w="3685" w:type="dxa"/>
            <w:shd w:val="clear" w:color="auto" w:fill="auto"/>
            <w:vAlign w:val="center"/>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4</w:t>
            </w:r>
          </w:p>
        </w:tc>
      </w:tr>
      <w:tr w:rsidR="00165659" w:rsidRPr="009D5C51" w:rsidTr="009C25EB">
        <w:trPr>
          <w:trHeight w:val="58"/>
          <w:jc w:val="center"/>
        </w:trPr>
        <w:tc>
          <w:tcPr>
            <w:tcW w:w="1838" w:type="dxa"/>
            <w:shd w:val="clear" w:color="auto" w:fill="auto"/>
          </w:tcPr>
          <w:p w:rsidR="00165659" w:rsidRPr="009D5C51" w:rsidRDefault="00165659" w:rsidP="008275D9">
            <w:pPr>
              <w:spacing w:after="0" w:line="240" w:lineRule="auto"/>
              <w:jc w:val="center"/>
              <w:rPr>
                <w:rFonts w:ascii="Times New Roman" w:eastAsia="Times New Roman" w:hAnsi="Times New Roman" w:cs="Times New Roman"/>
                <w:sz w:val="18"/>
                <w:szCs w:val="18"/>
                <w:u w:val="single"/>
                <w:lang w:eastAsia="ru-RU"/>
              </w:rPr>
            </w:pPr>
            <w:r w:rsidRPr="009D5C51">
              <w:rPr>
                <w:rFonts w:ascii="Times New Roman" w:hAnsi="Times New Roman" w:cs="Times New Roman"/>
                <w:sz w:val="18"/>
                <w:szCs w:val="18"/>
              </w:rPr>
              <w:t>Ассоциация «Некоммерческое партнерство Совет рынка по организации эффективной системы оптовой и розничной торговли электрической энергией и мощностью» (Ассоциация «НП Совет рынка»)</w:t>
            </w:r>
          </w:p>
        </w:tc>
        <w:tc>
          <w:tcPr>
            <w:tcW w:w="2552" w:type="dxa"/>
            <w:shd w:val="clear" w:color="auto" w:fill="auto"/>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 xml:space="preserve">Создание ассоциации определено Федеральным законом от 26.03.2003 № 35-ФЗ «Об электроэнергетике». </w:t>
            </w:r>
            <w:r w:rsidRPr="009D5C51">
              <w:rPr>
                <w:rFonts w:ascii="Times New Roman" w:eastAsia="Times New Roman" w:hAnsi="Times New Roman" w:cs="Times New Roman"/>
                <w:sz w:val="18"/>
                <w:szCs w:val="18"/>
                <w:lang w:eastAsia="ru-RU"/>
              </w:rPr>
              <w:br/>
              <w:t>В соответствии с ФЗ Совет рынка – некоммерческая организация, которая образована в организационно-правовой форме ассоциации (союза) в виде некоммерческого партнерства и объединяет на основе членства субъектов электроэнергетики и крупных потребителей электрической энергии.</w:t>
            </w:r>
          </w:p>
        </w:tc>
        <w:tc>
          <w:tcPr>
            <w:tcW w:w="2835" w:type="dxa"/>
            <w:shd w:val="clear" w:color="auto" w:fill="auto"/>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В соответствие с п. 1 ст. 35 ФЗ «Об электроэнергетике» членство в ассоциации является обязательным для всех участников ОРЭМ.</w:t>
            </w:r>
          </w:p>
          <w:p w:rsidR="00165659" w:rsidRPr="009D5C51" w:rsidRDefault="00165659" w:rsidP="008275D9">
            <w:pPr>
              <w:autoSpaceDE w:val="0"/>
              <w:autoSpaceDN w:val="0"/>
              <w:adjustRightInd w:val="0"/>
              <w:spacing w:after="0" w:line="240" w:lineRule="auto"/>
              <w:jc w:val="center"/>
              <w:rPr>
                <w:rFonts w:ascii="Times New Roman" w:hAnsi="Times New Roman" w:cs="Times New Roman"/>
                <w:sz w:val="18"/>
                <w:szCs w:val="18"/>
              </w:rPr>
            </w:pPr>
            <w:r w:rsidRPr="009D5C51">
              <w:rPr>
                <w:rFonts w:ascii="Times New Roman" w:hAnsi="Times New Roman" w:cs="Times New Roman"/>
                <w:sz w:val="18"/>
                <w:szCs w:val="18"/>
              </w:rPr>
              <w:t>В соответствии с п. 4.3.13 Устава некоммерческого партнерства АО «Чеченэнерго» (как территориальная сетевая компания, исполняющая функции гарантирующего поставщика) включено в Палату экспертов.</w:t>
            </w:r>
          </w:p>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hAnsi="Times New Roman" w:cs="Times New Roman"/>
                <w:sz w:val="18"/>
                <w:szCs w:val="18"/>
              </w:rPr>
              <w:t>Дата вступления в Партнерство – 29.07.2014</w:t>
            </w:r>
            <w:r w:rsidR="007739CE" w:rsidRPr="009D5C51">
              <w:rPr>
                <w:rFonts w:ascii="Times New Roman" w:hAnsi="Times New Roman" w:cs="Times New Roman"/>
                <w:sz w:val="18"/>
                <w:szCs w:val="18"/>
              </w:rPr>
              <w:t>.</w:t>
            </w:r>
          </w:p>
        </w:tc>
        <w:tc>
          <w:tcPr>
            <w:tcW w:w="3685" w:type="dxa"/>
            <w:shd w:val="clear" w:color="auto" w:fill="auto"/>
          </w:tcPr>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Члены Партнерства вносят в имущество организации добровольные членские взносы: вступительный взнос (единовременный) и ежеквартальные взносы.</w:t>
            </w:r>
          </w:p>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Размер взносов утверждается Наблюдательным советом Ассоциации – органом управления Партнерства.</w:t>
            </w:r>
          </w:p>
          <w:p w:rsidR="00165659" w:rsidRPr="009D5C51" w:rsidRDefault="00165659" w:rsidP="008275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 xml:space="preserve">Размер ежеквартального членского взноса ежегодно утверждается решением Наблюдательного Совета Ассоциации «НП Совет рынка». </w:t>
            </w:r>
            <w:r w:rsidRPr="009D5C51">
              <w:rPr>
                <w:rFonts w:ascii="Times New Roman" w:eastAsia="Times New Roman" w:hAnsi="Times New Roman" w:cs="Times New Roman"/>
                <w:sz w:val="18"/>
                <w:szCs w:val="18"/>
                <w:lang w:eastAsia="ru-RU"/>
              </w:rPr>
              <w:br/>
              <w:t>Решением Наблюдательного совета от 20.12.2022 № 17/2022 размер ежеквартального членского взноса в 2023</w:t>
            </w:r>
            <w:r w:rsidR="007739CE" w:rsidRPr="009D5C51">
              <w:rPr>
                <w:rFonts w:ascii="Times New Roman" w:eastAsia="Times New Roman" w:hAnsi="Times New Roman" w:cs="Times New Roman"/>
                <w:sz w:val="18"/>
                <w:szCs w:val="18"/>
                <w:lang w:eastAsia="ru-RU"/>
              </w:rPr>
              <w:t xml:space="preserve"> </w:t>
            </w:r>
            <w:r w:rsidRPr="009D5C51">
              <w:rPr>
                <w:rFonts w:ascii="Times New Roman" w:eastAsia="Times New Roman" w:hAnsi="Times New Roman" w:cs="Times New Roman"/>
                <w:sz w:val="18"/>
                <w:szCs w:val="18"/>
                <w:lang w:eastAsia="ru-RU"/>
              </w:rPr>
              <w:t>г. для членов партнерства – палаты экспертов установлен в размере 330 тыс. руб.</w:t>
            </w:r>
          </w:p>
        </w:tc>
      </w:tr>
      <w:tr w:rsidR="005058D9" w:rsidRPr="009D5C51" w:rsidTr="009C25EB">
        <w:trPr>
          <w:trHeight w:val="58"/>
          <w:jc w:val="center"/>
        </w:trPr>
        <w:tc>
          <w:tcPr>
            <w:tcW w:w="1838" w:type="dxa"/>
            <w:tcBorders>
              <w:top w:val="single" w:sz="4" w:space="0" w:color="auto"/>
              <w:left w:val="single" w:sz="4" w:space="0" w:color="auto"/>
              <w:bottom w:val="single" w:sz="4" w:space="0" w:color="auto"/>
              <w:right w:val="single" w:sz="4" w:space="0" w:color="auto"/>
            </w:tcBorders>
            <w:shd w:val="clear" w:color="auto" w:fill="auto"/>
          </w:tcPr>
          <w:p w:rsidR="005058D9" w:rsidRPr="009D5C51" w:rsidRDefault="005058D9" w:rsidP="005058D9">
            <w:pPr>
              <w:spacing w:after="0" w:line="240" w:lineRule="auto"/>
              <w:jc w:val="center"/>
              <w:rPr>
                <w:rFonts w:ascii="Times New Roman" w:hAnsi="Times New Roman" w:cs="Times New Roman"/>
                <w:sz w:val="18"/>
                <w:szCs w:val="18"/>
              </w:rPr>
            </w:pPr>
            <w:r w:rsidRPr="009D5C51">
              <w:rPr>
                <w:rFonts w:ascii="Times New Roman" w:hAnsi="Times New Roman" w:cs="Times New Roman"/>
                <w:sz w:val="18"/>
                <w:szCs w:val="18"/>
              </w:rPr>
              <w:t xml:space="preserve">Общероссийское отраслевое объединение работодателей электроэнергетики «Энергетическая работодательская </w:t>
            </w:r>
            <w:r w:rsidRPr="009D5C51">
              <w:rPr>
                <w:rFonts w:ascii="Times New Roman" w:hAnsi="Times New Roman" w:cs="Times New Roman"/>
                <w:sz w:val="18"/>
                <w:szCs w:val="18"/>
              </w:rPr>
              <w:lastRenderedPageBreak/>
              <w:t>ассоциация России» (Ассоциация «ЭРА России»)</w:t>
            </w:r>
          </w:p>
        </w:tc>
        <w:tc>
          <w:tcPr>
            <w:tcW w:w="2552" w:type="dxa"/>
            <w:tcBorders>
              <w:top w:val="single" w:sz="4" w:space="0" w:color="auto"/>
              <w:left w:val="single" w:sz="4" w:space="0" w:color="auto"/>
              <w:bottom w:val="single" w:sz="4" w:space="0" w:color="auto"/>
              <w:right w:val="single" w:sz="4" w:space="0" w:color="auto"/>
            </w:tcBorders>
            <w:shd w:val="clear" w:color="auto" w:fill="auto"/>
          </w:tcPr>
          <w:p w:rsidR="005058D9" w:rsidRPr="009D5C51" w:rsidRDefault="005058D9" w:rsidP="005058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lastRenderedPageBreak/>
              <w:t xml:space="preserve">Осуществление мониторинга и контроля исполнения норм Отраслевого тарифного соглашения в электроэнергетике Российской Федерации и </w:t>
            </w:r>
            <w:r w:rsidRPr="009D5C51">
              <w:rPr>
                <w:rFonts w:ascii="Times New Roman" w:eastAsia="Times New Roman" w:hAnsi="Times New Roman" w:cs="Times New Roman"/>
                <w:sz w:val="18"/>
                <w:szCs w:val="18"/>
                <w:lang w:eastAsia="ru-RU"/>
              </w:rPr>
              <w:lastRenderedPageBreak/>
              <w:t>нормативных правовых актов в социально-трудовой сфере</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5058D9" w:rsidRPr="009D5C51" w:rsidRDefault="005058D9" w:rsidP="005058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lastRenderedPageBreak/>
              <w:t xml:space="preserve">Регулирование социально-трудовых отношений в Обществе, повышение эффективности социального партнерства, содействие поддержанию социальной стабильности в трудовом </w:t>
            </w:r>
            <w:r w:rsidRPr="009D5C51">
              <w:rPr>
                <w:rFonts w:ascii="Times New Roman" w:eastAsia="Times New Roman" w:hAnsi="Times New Roman" w:cs="Times New Roman"/>
                <w:sz w:val="18"/>
                <w:szCs w:val="18"/>
                <w:lang w:eastAsia="ru-RU"/>
              </w:rPr>
              <w:lastRenderedPageBreak/>
              <w:t>коллективе Общества, повышение эффективности управления человеческими ресурсами Общества, присоединение к нормам Отраслевого тарифного соглашения в электроэнергетике Российской Федерации.</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5058D9" w:rsidRPr="009D5C51" w:rsidRDefault="005058D9" w:rsidP="005058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lastRenderedPageBreak/>
              <w:t>Членский взнос за 2023 г.</w:t>
            </w:r>
          </w:p>
          <w:p w:rsidR="005058D9" w:rsidRPr="009D5C51" w:rsidRDefault="005058D9" w:rsidP="005058D9">
            <w:pPr>
              <w:spacing w:after="0" w:line="240" w:lineRule="auto"/>
              <w:jc w:val="center"/>
              <w:rPr>
                <w:rFonts w:ascii="Times New Roman" w:eastAsia="Times New Roman" w:hAnsi="Times New Roman" w:cs="Times New Roman"/>
                <w:sz w:val="18"/>
                <w:szCs w:val="18"/>
                <w:lang w:eastAsia="ru-RU"/>
              </w:rPr>
            </w:pPr>
            <w:r w:rsidRPr="009D5C51">
              <w:rPr>
                <w:rFonts w:ascii="Times New Roman" w:eastAsia="Times New Roman" w:hAnsi="Times New Roman" w:cs="Times New Roman"/>
                <w:sz w:val="18"/>
                <w:szCs w:val="18"/>
                <w:lang w:eastAsia="ru-RU"/>
              </w:rPr>
              <w:t>составил 800 тыс. руб.</w:t>
            </w:r>
          </w:p>
        </w:tc>
      </w:tr>
    </w:tbl>
    <w:p w:rsidR="005058D9" w:rsidRPr="00B369F9" w:rsidRDefault="005058D9" w:rsidP="007C7C02">
      <w:pPr>
        <w:spacing w:after="0" w:line="240" w:lineRule="auto"/>
        <w:ind w:right="-143" w:firstLine="709"/>
        <w:jc w:val="both"/>
        <w:rPr>
          <w:rFonts w:ascii="Times New Roman" w:hAnsi="Times New Roman" w:cs="Times New Roman"/>
          <w:sz w:val="24"/>
          <w:szCs w:val="24"/>
        </w:rPr>
      </w:pPr>
    </w:p>
    <w:p w:rsidR="00934C6F" w:rsidRPr="00B369F9" w:rsidRDefault="00934C6F" w:rsidP="007C7C02">
      <w:pPr>
        <w:keepNext/>
        <w:suppressAutoHyphens/>
        <w:spacing w:after="0" w:line="240" w:lineRule="auto"/>
        <w:ind w:firstLine="709"/>
        <w:jc w:val="both"/>
        <w:outlineLvl w:val="0"/>
        <w:rPr>
          <w:rFonts w:ascii="Times New Roman" w:hAnsi="Times New Roman" w:cs="Times New Roman"/>
          <w:b/>
          <w:sz w:val="24"/>
          <w:szCs w:val="24"/>
        </w:rPr>
      </w:pPr>
      <w:bookmarkStart w:id="61" w:name="_Toc441075255"/>
      <w:bookmarkStart w:id="62" w:name="_Toc67663078"/>
      <w:bookmarkStart w:id="63" w:name="_Toc100218043"/>
      <w:bookmarkStart w:id="64" w:name="_Toc163738888"/>
      <w:r w:rsidRPr="00B369F9">
        <w:rPr>
          <w:rFonts w:ascii="Times New Roman" w:hAnsi="Times New Roman" w:cs="Times New Roman"/>
          <w:b/>
          <w:sz w:val="24"/>
          <w:szCs w:val="24"/>
        </w:rPr>
        <w:t>Контактная информация</w:t>
      </w:r>
      <w:bookmarkEnd w:id="61"/>
      <w:bookmarkEnd w:id="62"/>
      <w:bookmarkEnd w:id="63"/>
      <w:bookmarkEnd w:id="64"/>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Полное наименование</w:t>
      </w:r>
      <w:r w:rsidRPr="00B369F9">
        <w:rPr>
          <w:rFonts w:ascii="Times New Roman" w:hAnsi="Times New Roman" w:cs="Times New Roman"/>
          <w:sz w:val="24"/>
          <w:szCs w:val="24"/>
        </w:rPr>
        <w:t>: Акционерное общество «Чеченэнерго»</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Сокращенное наименование</w:t>
      </w:r>
      <w:r w:rsidRPr="00B369F9">
        <w:rPr>
          <w:rFonts w:ascii="Times New Roman" w:hAnsi="Times New Roman" w:cs="Times New Roman"/>
          <w:sz w:val="24"/>
          <w:szCs w:val="24"/>
        </w:rPr>
        <w:t>: АО «Чеченэнерго»</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Место нахождения</w:t>
      </w:r>
      <w:r w:rsidRPr="00B369F9">
        <w:rPr>
          <w:rFonts w:ascii="Times New Roman" w:hAnsi="Times New Roman" w:cs="Times New Roman"/>
          <w:sz w:val="24"/>
          <w:szCs w:val="24"/>
        </w:rPr>
        <w:t>: Чеченская Республика, г. Грозный</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Почтовый адрес</w:t>
      </w:r>
      <w:r w:rsidRPr="00B369F9">
        <w:rPr>
          <w:rFonts w:ascii="Times New Roman" w:hAnsi="Times New Roman" w:cs="Times New Roman"/>
          <w:sz w:val="24"/>
          <w:szCs w:val="24"/>
        </w:rPr>
        <w:t>: 364020, Российская Федерация, Чеченская Республика, г. Грозный, Старопромысловское шоссе, 6</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Корпоративный интернет-сайт</w:t>
      </w:r>
      <w:r w:rsidRPr="00B369F9">
        <w:rPr>
          <w:rFonts w:ascii="Times New Roman" w:hAnsi="Times New Roman" w:cs="Times New Roman"/>
          <w:sz w:val="24"/>
          <w:szCs w:val="24"/>
        </w:rPr>
        <w:t xml:space="preserve">: </w:t>
      </w:r>
      <w:hyperlink r:id="rId40" w:history="1">
        <w:r w:rsidR="007739CE" w:rsidRPr="00380FFB">
          <w:rPr>
            <w:rStyle w:val="af4"/>
            <w:rFonts w:ascii="Times New Roman" w:hAnsi="Times New Roman" w:cs="Times New Roman"/>
            <w:sz w:val="24"/>
            <w:szCs w:val="24"/>
          </w:rPr>
          <w:t>http://www.chechenergo.ru</w:t>
        </w:r>
      </w:hyperlink>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Основной государственный регистрационный номер</w:t>
      </w:r>
      <w:r w:rsidRPr="00B369F9">
        <w:rPr>
          <w:rFonts w:ascii="Times New Roman" w:hAnsi="Times New Roman" w:cs="Times New Roman"/>
          <w:sz w:val="24"/>
          <w:szCs w:val="24"/>
        </w:rPr>
        <w:t>: 1082031002503</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ИНН</w:t>
      </w:r>
      <w:r w:rsidRPr="00B369F9">
        <w:rPr>
          <w:rFonts w:ascii="Times New Roman" w:hAnsi="Times New Roman" w:cs="Times New Roman"/>
          <w:sz w:val="24"/>
          <w:szCs w:val="24"/>
        </w:rPr>
        <w:t xml:space="preserve"> 2016081143</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 xml:space="preserve">КПП </w:t>
      </w:r>
      <w:r w:rsidRPr="00B369F9">
        <w:rPr>
          <w:rFonts w:ascii="Times New Roman" w:hAnsi="Times New Roman" w:cs="Times New Roman"/>
          <w:sz w:val="24"/>
          <w:szCs w:val="24"/>
        </w:rPr>
        <w:t>201401001</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Контактный телефон /факс (приемная)</w:t>
      </w:r>
      <w:r w:rsidRPr="00B369F9">
        <w:rPr>
          <w:rFonts w:ascii="Times New Roman" w:hAnsi="Times New Roman" w:cs="Times New Roman"/>
          <w:sz w:val="24"/>
          <w:szCs w:val="24"/>
        </w:rPr>
        <w:t>: +7 (8712) 22-64-38, 22-20-07</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b/>
          <w:sz w:val="24"/>
          <w:szCs w:val="24"/>
        </w:rPr>
        <w:t>Адрес электронной почты</w:t>
      </w:r>
      <w:r w:rsidRPr="00B369F9">
        <w:rPr>
          <w:rFonts w:ascii="Times New Roman" w:hAnsi="Times New Roman" w:cs="Times New Roman"/>
          <w:sz w:val="24"/>
          <w:szCs w:val="24"/>
        </w:rPr>
        <w:t xml:space="preserve">: info@chechenergo.ru </w:t>
      </w:r>
    </w:p>
    <w:p w:rsidR="00251CF9" w:rsidRDefault="00251CF9" w:rsidP="007C7C02">
      <w:pPr>
        <w:spacing w:after="0" w:line="240" w:lineRule="auto"/>
        <w:jc w:val="both"/>
        <w:rPr>
          <w:rFonts w:ascii="Times New Roman" w:hAnsi="Times New Roman" w:cs="Times New Roman"/>
          <w:b/>
          <w:sz w:val="24"/>
          <w:szCs w:val="24"/>
        </w:rPr>
      </w:pPr>
    </w:p>
    <w:p w:rsidR="00934C6F" w:rsidRPr="00B369F9" w:rsidRDefault="00934C6F" w:rsidP="007C7C02">
      <w:pPr>
        <w:spacing w:after="0" w:line="240" w:lineRule="auto"/>
        <w:jc w:val="both"/>
        <w:rPr>
          <w:rFonts w:ascii="Times New Roman" w:hAnsi="Times New Roman" w:cs="Times New Roman"/>
          <w:b/>
          <w:sz w:val="24"/>
          <w:szCs w:val="24"/>
        </w:rPr>
      </w:pPr>
      <w:r w:rsidRPr="00B369F9">
        <w:rPr>
          <w:rFonts w:ascii="Times New Roman" w:hAnsi="Times New Roman" w:cs="Times New Roman"/>
          <w:b/>
          <w:sz w:val="24"/>
          <w:szCs w:val="24"/>
        </w:rPr>
        <w:t>Единоличный исполнительный орган (Управляющая организация)</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ПАО «Россети Северный Кавказ»</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Генеральный директор ПАО «Россети Северный Кавказ» – Левченко Роман Алексеевич</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Телефон: +7 (8793) 34-66-81, 34-66-82, 40-17-11</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Факс: +7 (8793) 40-18-20</w:t>
      </w:r>
    </w:p>
    <w:p w:rsidR="00934C6F" w:rsidRPr="00B369F9" w:rsidRDefault="00934C6F" w:rsidP="007C7C02">
      <w:pPr>
        <w:spacing w:after="0" w:line="240" w:lineRule="auto"/>
        <w:jc w:val="both"/>
        <w:rPr>
          <w:rFonts w:ascii="Times New Roman" w:hAnsi="Times New Roman" w:cs="Times New Roman"/>
          <w:b/>
          <w:sz w:val="24"/>
          <w:szCs w:val="24"/>
        </w:rPr>
      </w:pPr>
      <w:r w:rsidRPr="00B369F9">
        <w:rPr>
          <w:rFonts w:ascii="Times New Roman" w:hAnsi="Times New Roman" w:cs="Times New Roman"/>
          <w:b/>
          <w:sz w:val="24"/>
          <w:szCs w:val="24"/>
        </w:rPr>
        <w:t>«Горячая линия» для клиентов</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8-800-775-91-12</w:t>
      </w:r>
    </w:p>
    <w:p w:rsidR="00251CF9" w:rsidRDefault="00251CF9" w:rsidP="007C7C02">
      <w:pPr>
        <w:spacing w:after="0" w:line="240" w:lineRule="auto"/>
        <w:jc w:val="both"/>
        <w:rPr>
          <w:rFonts w:ascii="Times New Roman" w:hAnsi="Times New Roman" w:cs="Times New Roman"/>
          <w:b/>
          <w:sz w:val="24"/>
          <w:szCs w:val="24"/>
        </w:rPr>
      </w:pPr>
    </w:p>
    <w:p w:rsidR="00934C6F" w:rsidRPr="00B369F9" w:rsidRDefault="00934C6F" w:rsidP="007C7C02">
      <w:pPr>
        <w:spacing w:after="0" w:line="240" w:lineRule="auto"/>
        <w:jc w:val="both"/>
        <w:rPr>
          <w:rFonts w:ascii="Times New Roman" w:hAnsi="Times New Roman" w:cs="Times New Roman"/>
          <w:b/>
          <w:sz w:val="24"/>
          <w:szCs w:val="24"/>
        </w:rPr>
      </w:pPr>
      <w:r w:rsidRPr="00B369F9">
        <w:rPr>
          <w:rFonts w:ascii="Times New Roman" w:hAnsi="Times New Roman" w:cs="Times New Roman"/>
          <w:b/>
          <w:sz w:val="24"/>
          <w:szCs w:val="24"/>
        </w:rPr>
        <w:t>Регистратор</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Акционерное общество «Регистраторское общество «СТАТУС»</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АО «СТАТУС»</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Лицензия № 10-000-1-00304 от 12.03.2004 (бессрочная) выдана Федеральной комиссией по рынку ценных бумаг</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Адрес: Россия, 109052, г. Москва, ул. Новохохловская, д. 23, строение 1, помещение 1</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Адрес в сети Интернет: www.rostatus.ru</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Адрес электронной почты: office@rostatus.ru</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Телефон: +7 (495) 974-83-50</w:t>
      </w:r>
    </w:p>
    <w:p w:rsidR="00934C6F" w:rsidRPr="00B369F9" w:rsidRDefault="00934C6F"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Факс: +7 (495) 678-71-10</w:t>
      </w:r>
    </w:p>
    <w:p w:rsidR="00251CF9" w:rsidRDefault="00251CF9" w:rsidP="007C7C02">
      <w:pPr>
        <w:spacing w:after="0" w:line="240" w:lineRule="auto"/>
        <w:jc w:val="both"/>
        <w:rPr>
          <w:rFonts w:ascii="Times New Roman" w:hAnsi="Times New Roman" w:cs="Times New Roman"/>
          <w:b/>
          <w:sz w:val="24"/>
          <w:szCs w:val="24"/>
        </w:rPr>
      </w:pPr>
    </w:p>
    <w:p w:rsidR="00934C6F" w:rsidRPr="00B369F9" w:rsidRDefault="00934C6F" w:rsidP="007C7C02">
      <w:pPr>
        <w:spacing w:after="0" w:line="240" w:lineRule="auto"/>
        <w:jc w:val="both"/>
        <w:rPr>
          <w:rFonts w:ascii="Times New Roman" w:hAnsi="Times New Roman" w:cs="Times New Roman"/>
          <w:b/>
          <w:sz w:val="24"/>
          <w:szCs w:val="24"/>
        </w:rPr>
      </w:pPr>
      <w:r w:rsidRPr="00B369F9">
        <w:rPr>
          <w:rFonts w:ascii="Times New Roman" w:hAnsi="Times New Roman" w:cs="Times New Roman"/>
          <w:b/>
          <w:sz w:val="24"/>
          <w:szCs w:val="24"/>
        </w:rPr>
        <w:t>Аудитор</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Полное фирменное наименование: Общество с ограниченной ответственностью «ЦЕНТР АУДИТОРСКИХ ТЕХНОЛОГИЙ И РЕШЕНИЙ - АУДИТОРСКИЕ УСЛУГИ»</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Сокращенное фирменное наименование: ООО «ЦАТР-АУДИТОРСКИЕ УСЛУГИ»</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ИНН: 7709383532 ОГРН: 1027739707203</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Место нахождения: 115035, г. Москва, Садовническая набережная, д. 77, стр. 1</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Адрес в сети Интернет: https://www.b1.ru/</w:t>
      </w:r>
    </w:p>
    <w:p w:rsidR="004433B1"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Адрес электронной почты: info@b1.ru</w:t>
      </w:r>
    </w:p>
    <w:p w:rsidR="005D7672" w:rsidRPr="00B369F9" w:rsidRDefault="004433B1" w:rsidP="007C7C02">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Телефон приемной/факс: (495) 755-97-00/755-97-01</w:t>
      </w:r>
    </w:p>
    <w:p w:rsidR="00934C6F" w:rsidRPr="00B369F9" w:rsidRDefault="004433B1" w:rsidP="00021DAC">
      <w:pPr>
        <w:spacing w:after="0" w:line="240" w:lineRule="auto"/>
        <w:jc w:val="both"/>
        <w:rPr>
          <w:rFonts w:ascii="Times New Roman" w:hAnsi="Times New Roman" w:cs="Times New Roman"/>
          <w:sz w:val="24"/>
          <w:szCs w:val="24"/>
        </w:rPr>
      </w:pPr>
      <w:r w:rsidRPr="00B369F9">
        <w:rPr>
          <w:rFonts w:ascii="Times New Roman" w:hAnsi="Times New Roman" w:cs="Times New Roman"/>
          <w:sz w:val="24"/>
          <w:szCs w:val="24"/>
        </w:rPr>
        <w:t>Является членом саморегулируемой организации аудиторов Ассоциация «Содружество» (СРО ААС). Запись в Реестр аудиторов и аудиторских организаций внесена 31 января</w:t>
      </w:r>
      <w:r w:rsidR="00021DAC" w:rsidRPr="00B369F9">
        <w:rPr>
          <w:rFonts w:ascii="Times New Roman" w:hAnsi="Times New Roman" w:cs="Times New Roman"/>
          <w:sz w:val="24"/>
          <w:szCs w:val="24"/>
        </w:rPr>
        <w:t xml:space="preserve"> 2020 года за ОРНЗ 12006020327.</w:t>
      </w:r>
      <w:bookmarkEnd w:id="55"/>
    </w:p>
    <w:sectPr w:rsidR="00934C6F" w:rsidRPr="00B369F9" w:rsidSect="00725BD7">
      <w:headerReference w:type="default" r:id="rId41"/>
      <w:footnotePr>
        <w:numRestart w:val="eachPage"/>
      </w:footnotePr>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17A83" w:rsidRDefault="00117A83" w:rsidP="003F39BC">
      <w:pPr>
        <w:spacing w:after="0" w:line="240" w:lineRule="auto"/>
      </w:pPr>
      <w:r>
        <w:separator/>
      </w:r>
    </w:p>
  </w:endnote>
  <w:endnote w:type="continuationSeparator" w:id="0">
    <w:p w:rsidR="00117A83" w:rsidRDefault="00117A83" w:rsidP="003F39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StarSymbol">
    <w:panose1 w:val="00000000000000000000"/>
    <w:charset w:val="80"/>
    <w:family w:val="auto"/>
    <w:notTrueType/>
    <w:pitch w:val="default"/>
    <w:sig w:usb0="00000001" w:usb1="08070000" w:usb2="00000010" w:usb3="00000000" w:csb0="00020000" w:csb1="00000000"/>
  </w:font>
  <w:font w:name="MS Mincho">
    <w:altName w:val="Yu Gothic UI"/>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0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GOpus">
    <w:panose1 w:val="00000000000000000000"/>
    <w:charset w:val="00"/>
    <w:family w:val="auto"/>
    <w:notTrueType/>
    <w:pitch w:val="variable"/>
    <w:sig w:usb0="00000003" w:usb1="00000000" w:usb2="00000000" w:usb3="00000000" w:csb0="00000001" w:csb1="00000000"/>
  </w:font>
  <w:font w:name="Futura Bk">
    <w:panose1 w:val="00000000000000000000"/>
    <w:charset w:val="CC"/>
    <w:family w:val="swiss"/>
    <w:notTrueType/>
    <w:pitch w:val="variable"/>
    <w:sig w:usb0="00000203" w:usb1="00000000" w:usb2="00000000" w:usb3="00000000" w:csb0="00000005" w:csb1="00000000"/>
  </w:font>
  <w:font w:name="a_FuturaOrto">
    <w:panose1 w:val="00000000000000000000"/>
    <w:charset w:val="CC"/>
    <w:family w:val="roman"/>
    <w:notTrueType/>
    <w:pitch w:val="default"/>
    <w:sig w:usb0="00000203" w:usb1="00000000" w:usb2="00000000" w:usb3="00000000" w:csb0="00000005" w:csb1="00000000"/>
  </w:font>
  <w:font w:name="Times">
    <w:panose1 w:val="02020603050405020304"/>
    <w:charset w:val="CC"/>
    <w:family w:val="roman"/>
    <w:pitch w:val="variable"/>
    <w:sig w:usb0="E0002EFF" w:usb1="C000785B" w:usb2="00000009" w:usb3="00000000" w:csb0="000001FF" w:csb1="00000000"/>
  </w:font>
  <w:font w:name="TimesNewRoman">
    <w:panose1 w:val="00000000000000000000"/>
    <w:charset w:val="CC"/>
    <w:family w:val="auto"/>
    <w:notTrueType/>
    <w:pitch w:val="default"/>
    <w:sig w:usb0="00000203" w:usb1="00000000" w:usb2="00000000" w:usb3="00000000" w:csb0="00000005" w:csb1="00000000"/>
  </w:font>
  <w:font w:name="CharterC">
    <w:panose1 w:val="00000000000000000000"/>
    <w:charset w:val="CC"/>
    <w:family w:val="roman"/>
    <w:notTrueType/>
    <w:pitch w:val="default"/>
    <w:sig w:usb0="00000201" w:usb1="00000000" w:usb2="00000000" w:usb3="00000000" w:csb0="00000004" w:csb1="00000000"/>
  </w:font>
  <w:font w:name="Univers LT CYR 45 Light">
    <w:panose1 w:val="00000000000000000000"/>
    <w:charset w:val="CC"/>
    <w:family w:val="swiss"/>
    <w:notTrueType/>
    <w:pitch w:val="default"/>
    <w:sig w:usb0="00000001" w:usb1="00000000" w:usb2="00000000" w:usb3="00000000" w:csb0="00000005" w:csb1="00000000"/>
  </w:font>
  <w:font w:name="Univers LT CYR 47 Lt Cn">
    <w:panose1 w:val="00000000000000000000"/>
    <w:charset w:val="CC"/>
    <w:family w:val="swiss"/>
    <w:notTrueType/>
    <w:pitch w:val="default"/>
    <w:sig w:usb0="00000201" w:usb1="00000000" w:usb2="00000000" w:usb3="00000000" w:csb0="00000004" w:csb1="00000000"/>
  </w:font>
  <w:font w:name="Stem Tex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95953116"/>
      <w:docPartObj>
        <w:docPartGallery w:val="Page Numbers (Bottom of Page)"/>
        <w:docPartUnique/>
      </w:docPartObj>
    </w:sdtPr>
    <w:sdtEndPr/>
    <w:sdtContent>
      <w:p w:rsidR="009F115E" w:rsidRDefault="009F115E">
        <w:pPr>
          <w:pStyle w:val="ac"/>
          <w:jc w:val="right"/>
        </w:pPr>
        <w:r>
          <w:fldChar w:fldCharType="begin"/>
        </w:r>
        <w:r>
          <w:instrText>PAGE   \* MERGEFORMAT</w:instrText>
        </w:r>
        <w:r>
          <w:fldChar w:fldCharType="separate"/>
        </w:r>
        <w:r w:rsidR="00B63EFD">
          <w:rPr>
            <w:noProof/>
          </w:rPr>
          <w:t>21</w:t>
        </w:r>
        <w:r>
          <w:fldChar w:fldCharType="end"/>
        </w:r>
      </w:p>
    </w:sdtContent>
  </w:sdt>
  <w:p w:rsidR="009F115E" w:rsidRDefault="009F115E">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17A83" w:rsidRDefault="00117A83" w:rsidP="003F39BC">
      <w:pPr>
        <w:spacing w:after="0" w:line="240" w:lineRule="auto"/>
      </w:pPr>
      <w:r>
        <w:separator/>
      </w:r>
    </w:p>
  </w:footnote>
  <w:footnote w:type="continuationSeparator" w:id="0">
    <w:p w:rsidR="00117A83" w:rsidRDefault="00117A83" w:rsidP="003F39BC">
      <w:pPr>
        <w:spacing w:after="0" w:line="240" w:lineRule="auto"/>
      </w:pPr>
      <w:r>
        <w:continuationSeparator/>
      </w:r>
    </w:p>
  </w:footnote>
  <w:footnote w:id="1">
    <w:p w:rsidR="009F115E" w:rsidRDefault="009F115E" w:rsidP="00617822">
      <w:pPr>
        <w:pStyle w:val="af5"/>
        <w:jc w:val="both"/>
      </w:pPr>
      <w:r>
        <w:rPr>
          <w:rStyle w:val="af7"/>
        </w:rPr>
        <w:footnoteRef/>
      </w:r>
      <w:r>
        <w:t xml:space="preserve"> По состоянию на 01.01.2023 согласно данным Росстата о численности населения по субъектам Российской Федерации на 01.01.2023 </w:t>
      </w:r>
      <w:r w:rsidRPr="00F473B0">
        <w:t>(с уч</w:t>
      </w:r>
      <w:r>
        <w:t>е</w:t>
      </w:r>
      <w:r w:rsidRPr="00F473B0">
        <w:t>том итогов Всероссийской переписи населения 2020 г.)</w:t>
      </w:r>
      <w:r>
        <w:t>.</w:t>
      </w:r>
    </w:p>
  </w:footnote>
  <w:footnote w:id="2">
    <w:p w:rsidR="009F115E" w:rsidRPr="00701B24" w:rsidRDefault="009F115E" w:rsidP="00CF4DAD">
      <w:pPr>
        <w:pStyle w:val="af5"/>
        <w:jc w:val="both"/>
      </w:pPr>
    </w:p>
  </w:footnote>
  <w:footnote w:id="3">
    <w:p w:rsidR="009F115E" w:rsidRPr="00BB7B9A" w:rsidRDefault="009F115E" w:rsidP="00CF4DAD">
      <w:pPr>
        <w:pStyle w:val="af5"/>
        <w:jc w:val="both"/>
      </w:pPr>
    </w:p>
  </w:footnote>
  <w:footnote w:id="4">
    <w:p w:rsidR="009F115E" w:rsidRDefault="009F115E" w:rsidP="00CF4DAD">
      <w:pPr>
        <w:pStyle w:val="af5"/>
        <w:jc w:val="both"/>
      </w:pPr>
    </w:p>
  </w:footnote>
  <w:footnote w:id="5">
    <w:p w:rsidR="009F115E" w:rsidRDefault="009F115E" w:rsidP="00CF4DAD">
      <w:pPr>
        <w:pStyle w:val="af5"/>
        <w:jc w:val="both"/>
      </w:pPr>
    </w:p>
  </w:footnote>
  <w:footnote w:id="6">
    <w:p w:rsidR="009F115E" w:rsidRPr="00DB2C35" w:rsidRDefault="009F115E">
      <w:pPr>
        <w:pStyle w:val="af5"/>
      </w:pPr>
      <w:r>
        <w:rPr>
          <w:rStyle w:val="af7"/>
        </w:rPr>
        <w:footnoteRef/>
      </w:r>
      <w:r>
        <w:t xml:space="preserve"> Однора</w:t>
      </w:r>
      <w:r w:rsidRPr="000512B1">
        <w:t>нговые, децентрализ</w:t>
      </w:r>
      <w:r>
        <w:t>о</w:t>
      </w:r>
      <w:r w:rsidRPr="000512B1">
        <w:t>ванные или</w:t>
      </w:r>
      <w:r>
        <w:t> пир</w:t>
      </w:r>
      <w:r w:rsidRPr="000512B1">
        <w:t>инговые (от</w:t>
      </w:r>
      <w:r>
        <w:t> </w:t>
      </w:r>
      <w:r w:rsidRPr="000512B1">
        <w:t>англ. peer-to-peer, P2P</w:t>
      </w:r>
      <w:r>
        <w:t xml:space="preserve"> – </w:t>
      </w:r>
      <w:r w:rsidRPr="000512B1">
        <w:t>один</w:t>
      </w:r>
      <w:r>
        <w:t xml:space="preserve"> на </w:t>
      </w:r>
      <w:r w:rsidRPr="000512B1">
        <w:t>один,</w:t>
      </w:r>
      <w:r>
        <w:t xml:space="preserve"> с </w:t>
      </w:r>
      <w:r w:rsidRPr="000512B1">
        <w:t>глазу</w:t>
      </w:r>
      <w:r>
        <w:t xml:space="preserve"> на </w:t>
      </w:r>
      <w:r w:rsidRPr="000512B1">
        <w:t>глаз) сети</w:t>
      </w:r>
      <w: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86282256"/>
      <w:docPartObj>
        <w:docPartGallery w:val="Page Numbers (Top of Page)"/>
        <w:docPartUnique/>
      </w:docPartObj>
    </w:sdtPr>
    <w:sdtEndPr/>
    <w:sdtContent>
      <w:p w:rsidR="009F115E" w:rsidRPr="00647305" w:rsidRDefault="009F115E">
        <w:pPr>
          <w:pStyle w:val="aa"/>
          <w:jc w:val="center"/>
        </w:pPr>
        <w:r w:rsidRPr="00647305">
          <w:fldChar w:fldCharType="begin"/>
        </w:r>
        <w:r w:rsidRPr="00647305">
          <w:instrText>PAGE   \* MERGEFORMAT</w:instrText>
        </w:r>
        <w:r w:rsidRPr="00647305">
          <w:fldChar w:fldCharType="separate"/>
        </w:r>
        <w:r w:rsidR="00B63EFD">
          <w:rPr>
            <w:noProof/>
          </w:rPr>
          <w:t>21</w:t>
        </w:r>
        <w:r w:rsidRPr="00647305">
          <w:fldChar w:fldCharType="end"/>
        </w:r>
      </w:p>
    </w:sdtContent>
  </w:sdt>
  <w:p w:rsidR="009F115E" w:rsidRPr="00647305" w:rsidRDefault="009F115E">
    <w:pPr>
      <w:pStyle w:val="a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35530972"/>
      <w:docPartObj>
        <w:docPartGallery w:val="Page Numbers (Top of Page)"/>
        <w:docPartUnique/>
      </w:docPartObj>
    </w:sdtPr>
    <w:sdtEndPr/>
    <w:sdtContent>
      <w:p w:rsidR="009F115E" w:rsidRPr="00647305" w:rsidRDefault="009F115E">
        <w:pPr>
          <w:pStyle w:val="aa"/>
          <w:jc w:val="center"/>
        </w:pPr>
        <w:r w:rsidRPr="00647305">
          <w:fldChar w:fldCharType="begin"/>
        </w:r>
        <w:r w:rsidRPr="00647305">
          <w:instrText>PAGE   \* MERGEFORMAT</w:instrText>
        </w:r>
        <w:r w:rsidRPr="00647305">
          <w:fldChar w:fldCharType="separate"/>
        </w:r>
        <w:r w:rsidR="00B63EFD">
          <w:rPr>
            <w:noProof/>
          </w:rPr>
          <w:t>81</w:t>
        </w:r>
        <w:r w:rsidRPr="00647305">
          <w:fldChar w:fldCharType="end"/>
        </w:r>
      </w:p>
    </w:sdtContent>
  </w:sdt>
  <w:p w:rsidR="009F115E" w:rsidRPr="00647305" w:rsidRDefault="009F115E">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C082AD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D6D5156"/>
    <w:multiLevelType w:val="hybridMultilevel"/>
    <w:tmpl w:val="7C065A78"/>
    <w:lvl w:ilvl="0" w:tplc="FA7CF250">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15:restartNumberingAfterBreak="0">
    <w:nsid w:val="159405D6"/>
    <w:multiLevelType w:val="hybridMultilevel"/>
    <w:tmpl w:val="499666BE"/>
    <w:lvl w:ilvl="0" w:tplc="C2222588">
      <w:start w:val="1"/>
      <w:numFmt w:val="decimal"/>
      <w:lvlText w:val="%1."/>
      <w:lvlJc w:val="left"/>
      <w:pPr>
        <w:ind w:left="720" w:hanging="360"/>
      </w:pPr>
      <w:rPr>
        <w:rFonts w:eastAsia="Calibr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DE0CCC"/>
    <w:multiLevelType w:val="hybridMultilevel"/>
    <w:tmpl w:val="23582B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F373FF9"/>
    <w:multiLevelType w:val="hybridMultilevel"/>
    <w:tmpl w:val="F8D2115C"/>
    <w:lvl w:ilvl="0" w:tplc="4E7E86AA">
      <w:start w:val="1"/>
      <w:numFmt w:val="decimal"/>
      <w:lvlText w:val="%1."/>
      <w:lvlJc w:val="left"/>
      <w:pPr>
        <w:ind w:left="1418" w:hanging="360"/>
      </w:pPr>
    </w:lvl>
    <w:lvl w:ilvl="1" w:tplc="CB5E66A2">
      <w:start w:val="1"/>
      <w:numFmt w:val="lowerLetter"/>
      <w:lvlText w:val="%2."/>
      <w:lvlJc w:val="left"/>
      <w:pPr>
        <w:ind w:left="2138" w:hanging="360"/>
      </w:pPr>
    </w:lvl>
    <w:lvl w:ilvl="2" w:tplc="DA06AD8C">
      <w:start w:val="1"/>
      <w:numFmt w:val="lowerRoman"/>
      <w:lvlText w:val="%3."/>
      <w:lvlJc w:val="right"/>
      <w:pPr>
        <w:ind w:left="2858" w:hanging="180"/>
      </w:pPr>
    </w:lvl>
    <w:lvl w:ilvl="3" w:tplc="63CE5350">
      <w:start w:val="1"/>
      <w:numFmt w:val="decimal"/>
      <w:lvlText w:val="%4."/>
      <w:lvlJc w:val="left"/>
      <w:pPr>
        <w:ind w:left="3578" w:hanging="360"/>
      </w:pPr>
    </w:lvl>
    <w:lvl w:ilvl="4" w:tplc="AB902026">
      <w:start w:val="1"/>
      <w:numFmt w:val="lowerLetter"/>
      <w:lvlText w:val="%5."/>
      <w:lvlJc w:val="left"/>
      <w:pPr>
        <w:ind w:left="4298" w:hanging="360"/>
      </w:pPr>
    </w:lvl>
    <w:lvl w:ilvl="5" w:tplc="D39207FC">
      <w:start w:val="1"/>
      <w:numFmt w:val="lowerRoman"/>
      <w:lvlText w:val="%6."/>
      <w:lvlJc w:val="right"/>
      <w:pPr>
        <w:ind w:left="5018" w:hanging="180"/>
      </w:pPr>
    </w:lvl>
    <w:lvl w:ilvl="6" w:tplc="92FEB4AA">
      <w:start w:val="1"/>
      <w:numFmt w:val="decimal"/>
      <w:lvlText w:val="%7."/>
      <w:lvlJc w:val="left"/>
      <w:pPr>
        <w:ind w:left="5738" w:hanging="360"/>
      </w:pPr>
    </w:lvl>
    <w:lvl w:ilvl="7" w:tplc="94B0A5D2">
      <w:start w:val="1"/>
      <w:numFmt w:val="lowerLetter"/>
      <w:lvlText w:val="%8."/>
      <w:lvlJc w:val="left"/>
      <w:pPr>
        <w:ind w:left="6458" w:hanging="360"/>
      </w:pPr>
    </w:lvl>
    <w:lvl w:ilvl="8" w:tplc="FEEA2182">
      <w:start w:val="1"/>
      <w:numFmt w:val="lowerRoman"/>
      <w:lvlText w:val="%9."/>
      <w:lvlJc w:val="right"/>
      <w:pPr>
        <w:ind w:left="7178" w:hanging="180"/>
      </w:pPr>
    </w:lvl>
  </w:abstractNum>
  <w:abstractNum w:abstractNumId="5" w15:restartNumberingAfterBreak="0">
    <w:nsid w:val="29E91BF4"/>
    <w:multiLevelType w:val="hybridMultilevel"/>
    <w:tmpl w:val="CF326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4A603BB"/>
    <w:multiLevelType w:val="hybridMultilevel"/>
    <w:tmpl w:val="B4F6C2C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7" w15:restartNumberingAfterBreak="0">
    <w:nsid w:val="40151F8D"/>
    <w:multiLevelType w:val="hybridMultilevel"/>
    <w:tmpl w:val="37E00812"/>
    <w:lvl w:ilvl="0" w:tplc="70003D48">
      <w:start w:val="1"/>
      <w:numFmt w:val="decimal"/>
      <w:pStyle w:val="NumHead1"/>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pStyle w:val="Web"/>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42CE0B55"/>
    <w:multiLevelType w:val="hybridMultilevel"/>
    <w:tmpl w:val="D45422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71367C6"/>
    <w:multiLevelType w:val="hybridMultilevel"/>
    <w:tmpl w:val="7E342A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51753BAD"/>
    <w:multiLevelType w:val="hybridMultilevel"/>
    <w:tmpl w:val="3AC2B0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5CC94752"/>
    <w:multiLevelType w:val="hybridMultilevel"/>
    <w:tmpl w:val="CF326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F86517B"/>
    <w:multiLevelType w:val="hybridMultilevel"/>
    <w:tmpl w:val="38D253B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5F9406E0"/>
    <w:multiLevelType w:val="hybridMultilevel"/>
    <w:tmpl w:val="F05A521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735F64E3"/>
    <w:multiLevelType w:val="hybridMultilevel"/>
    <w:tmpl w:val="CF326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7384653B"/>
    <w:multiLevelType w:val="hybridMultilevel"/>
    <w:tmpl w:val="3E2C6CF4"/>
    <w:lvl w:ilvl="0" w:tplc="3B801462">
      <w:start w:val="1"/>
      <w:numFmt w:val="decimal"/>
      <w:lvlText w:val="%1."/>
      <w:lvlJc w:val="left"/>
      <w:pPr>
        <w:ind w:left="720" w:hanging="360"/>
      </w:pPr>
      <w:rPr>
        <w:rFonts w:eastAsia="Calibr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75D7121A"/>
    <w:multiLevelType w:val="hybridMultilevel"/>
    <w:tmpl w:val="5CF8086A"/>
    <w:lvl w:ilvl="0" w:tplc="04190001">
      <w:start w:val="1"/>
      <w:numFmt w:val="bullet"/>
      <w:lvlText w:val=""/>
      <w:lvlJc w:val="left"/>
      <w:pPr>
        <w:ind w:left="1070" w:hanging="360"/>
      </w:pPr>
      <w:rPr>
        <w:rFonts w:ascii="Symbol" w:hAnsi="Symbol" w:hint="default"/>
      </w:rPr>
    </w:lvl>
    <w:lvl w:ilvl="1" w:tplc="04190019">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num w:numId="1">
    <w:abstractNumId w:val="7"/>
  </w:num>
  <w:num w:numId="2">
    <w:abstractNumId w:val="0"/>
  </w:num>
  <w:num w:numId="3">
    <w:abstractNumId w:val="9"/>
  </w:num>
  <w:num w:numId="4">
    <w:abstractNumId w:val="13"/>
  </w:num>
  <w:num w:numId="5">
    <w:abstractNumId w:val="10"/>
  </w:num>
  <w:num w:numId="6">
    <w:abstractNumId w:val="12"/>
  </w:num>
  <w:num w:numId="7">
    <w:abstractNumId w:val="16"/>
  </w:num>
  <w:num w:numId="8">
    <w:abstractNumId w:val="6"/>
  </w:num>
  <w:num w:numId="9">
    <w:abstractNumId w:val="8"/>
  </w:num>
  <w:num w:numId="10">
    <w:abstractNumId w:val="5"/>
  </w:num>
  <w:num w:numId="11">
    <w:abstractNumId w:val="14"/>
  </w:num>
  <w:num w:numId="12">
    <w:abstractNumId w:val="11"/>
  </w:num>
  <w:num w:numId="13">
    <w:abstractNumId w:val="2"/>
  </w:num>
  <w:num w:numId="14">
    <w:abstractNumId w:val="15"/>
  </w:num>
  <w:num w:numId="15">
    <w:abstractNumId w:val="3"/>
  </w:num>
  <w:num w:numId="16">
    <w:abstractNumId w:val="1"/>
  </w:num>
  <w:num w:numId="17">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39BC"/>
    <w:rsid w:val="00004097"/>
    <w:rsid w:val="00004338"/>
    <w:rsid w:val="00007596"/>
    <w:rsid w:val="00007F61"/>
    <w:rsid w:val="00010976"/>
    <w:rsid w:val="0001116F"/>
    <w:rsid w:val="000126BE"/>
    <w:rsid w:val="00012F78"/>
    <w:rsid w:val="00015EF6"/>
    <w:rsid w:val="00016A05"/>
    <w:rsid w:val="00021C6F"/>
    <w:rsid w:val="00021DAC"/>
    <w:rsid w:val="00022748"/>
    <w:rsid w:val="000229EE"/>
    <w:rsid w:val="00027253"/>
    <w:rsid w:val="000303CE"/>
    <w:rsid w:val="00031B11"/>
    <w:rsid w:val="00032D0B"/>
    <w:rsid w:val="0003546B"/>
    <w:rsid w:val="00043A0D"/>
    <w:rsid w:val="00043DD2"/>
    <w:rsid w:val="000445FE"/>
    <w:rsid w:val="00046A67"/>
    <w:rsid w:val="00050156"/>
    <w:rsid w:val="0005289A"/>
    <w:rsid w:val="00053292"/>
    <w:rsid w:val="00053C07"/>
    <w:rsid w:val="00056067"/>
    <w:rsid w:val="0006551D"/>
    <w:rsid w:val="0006743A"/>
    <w:rsid w:val="00067A4F"/>
    <w:rsid w:val="00072FB8"/>
    <w:rsid w:val="000743FE"/>
    <w:rsid w:val="000760D4"/>
    <w:rsid w:val="00076E95"/>
    <w:rsid w:val="00076F2F"/>
    <w:rsid w:val="00077782"/>
    <w:rsid w:val="00077E55"/>
    <w:rsid w:val="00080CBE"/>
    <w:rsid w:val="00080F57"/>
    <w:rsid w:val="00084B37"/>
    <w:rsid w:val="00091E0D"/>
    <w:rsid w:val="00093859"/>
    <w:rsid w:val="0009422F"/>
    <w:rsid w:val="000959D2"/>
    <w:rsid w:val="000969C4"/>
    <w:rsid w:val="00096BF8"/>
    <w:rsid w:val="00096ED2"/>
    <w:rsid w:val="000A2CED"/>
    <w:rsid w:val="000A7AA3"/>
    <w:rsid w:val="000B459F"/>
    <w:rsid w:val="000B7539"/>
    <w:rsid w:val="000C35C5"/>
    <w:rsid w:val="000C4C29"/>
    <w:rsid w:val="000C4CCE"/>
    <w:rsid w:val="000C5577"/>
    <w:rsid w:val="000D0652"/>
    <w:rsid w:val="000D0E9D"/>
    <w:rsid w:val="000D16DE"/>
    <w:rsid w:val="000D2B38"/>
    <w:rsid w:val="000D42F0"/>
    <w:rsid w:val="000D4C75"/>
    <w:rsid w:val="000D4CDD"/>
    <w:rsid w:val="000D6084"/>
    <w:rsid w:val="000E4D4D"/>
    <w:rsid w:val="000E5208"/>
    <w:rsid w:val="000E7370"/>
    <w:rsid w:val="000F0218"/>
    <w:rsid w:val="000F355E"/>
    <w:rsid w:val="000F524A"/>
    <w:rsid w:val="000F5D7C"/>
    <w:rsid w:val="000F69B4"/>
    <w:rsid w:val="0010015E"/>
    <w:rsid w:val="00100512"/>
    <w:rsid w:val="001025F6"/>
    <w:rsid w:val="00112BC2"/>
    <w:rsid w:val="00115D7F"/>
    <w:rsid w:val="00116471"/>
    <w:rsid w:val="001170D9"/>
    <w:rsid w:val="00117A83"/>
    <w:rsid w:val="00117D3C"/>
    <w:rsid w:val="0012016C"/>
    <w:rsid w:val="00123495"/>
    <w:rsid w:val="00126221"/>
    <w:rsid w:val="0013185A"/>
    <w:rsid w:val="00131D5B"/>
    <w:rsid w:val="00135F29"/>
    <w:rsid w:val="00135F58"/>
    <w:rsid w:val="00137647"/>
    <w:rsid w:val="00144F88"/>
    <w:rsid w:val="00145E8F"/>
    <w:rsid w:val="00147DBA"/>
    <w:rsid w:val="001503C9"/>
    <w:rsid w:val="001503EE"/>
    <w:rsid w:val="00151573"/>
    <w:rsid w:val="00152AF9"/>
    <w:rsid w:val="00155576"/>
    <w:rsid w:val="00155731"/>
    <w:rsid w:val="0015797C"/>
    <w:rsid w:val="001623BB"/>
    <w:rsid w:val="0016275C"/>
    <w:rsid w:val="00164F34"/>
    <w:rsid w:val="00165659"/>
    <w:rsid w:val="00166FEF"/>
    <w:rsid w:val="00167A7A"/>
    <w:rsid w:val="00172AFB"/>
    <w:rsid w:val="0017346F"/>
    <w:rsid w:val="00173B29"/>
    <w:rsid w:val="00174B11"/>
    <w:rsid w:val="00180079"/>
    <w:rsid w:val="00181E78"/>
    <w:rsid w:val="0018217E"/>
    <w:rsid w:val="001821E1"/>
    <w:rsid w:val="00182229"/>
    <w:rsid w:val="00185C97"/>
    <w:rsid w:val="0019259A"/>
    <w:rsid w:val="00193C24"/>
    <w:rsid w:val="001955FD"/>
    <w:rsid w:val="00195D14"/>
    <w:rsid w:val="001A0030"/>
    <w:rsid w:val="001A1111"/>
    <w:rsid w:val="001A1C69"/>
    <w:rsid w:val="001A60BF"/>
    <w:rsid w:val="001B3273"/>
    <w:rsid w:val="001B5E2D"/>
    <w:rsid w:val="001C082C"/>
    <w:rsid w:val="001C0C95"/>
    <w:rsid w:val="001C0E5D"/>
    <w:rsid w:val="001C3A5D"/>
    <w:rsid w:val="001C724B"/>
    <w:rsid w:val="001C74D9"/>
    <w:rsid w:val="001D045C"/>
    <w:rsid w:val="001D2BFB"/>
    <w:rsid w:val="001D3642"/>
    <w:rsid w:val="001D386D"/>
    <w:rsid w:val="001E299B"/>
    <w:rsid w:val="001E3966"/>
    <w:rsid w:val="001E4C64"/>
    <w:rsid w:val="001E6D83"/>
    <w:rsid w:val="001E6EBD"/>
    <w:rsid w:val="001F2D15"/>
    <w:rsid w:val="001F65B8"/>
    <w:rsid w:val="001F6BCA"/>
    <w:rsid w:val="002025EB"/>
    <w:rsid w:val="00204E40"/>
    <w:rsid w:val="00207E62"/>
    <w:rsid w:val="002118D5"/>
    <w:rsid w:val="00212295"/>
    <w:rsid w:val="002133E4"/>
    <w:rsid w:val="002173AA"/>
    <w:rsid w:val="002212AF"/>
    <w:rsid w:val="002317BC"/>
    <w:rsid w:val="00231C5A"/>
    <w:rsid w:val="00233FCF"/>
    <w:rsid w:val="00235628"/>
    <w:rsid w:val="00237FA8"/>
    <w:rsid w:val="00243E8E"/>
    <w:rsid w:val="002470AE"/>
    <w:rsid w:val="00250E5B"/>
    <w:rsid w:val="002511CD"/>
    <w:rsid w:val="00251CF9"/>
    <w:rsid w:val="00252441"/>
    <w:rsid w:val="00255C2F"/>
    <w:rsid w:val="0026117D"/>
    <w:rsid w:val="0026443C"/>
    <w:rsid w:val="00266DD5"/>
    <w:rsid w:val="00270951"/>
    <w:rsid w:val="00271BC8"/>
    <w:rsid w:val="0027248A"/>
    <w:rsid w:val="00274932"/>
    <w:rsid w:val="00281766"/>
    <w:rsid w:val="002836E8"/>
    <w:rsid w:val="00283BEF"/>
    <w:rsid w:val="00284265"/>
    <w:rsid w:val="00284CE7"/>
    <w:rsid w:val="0028629E"/>
    <w:rsid w:val="00290255"/>
    <w:rsid w:val="00291376"/>
    <w:rsid w:val="00293856"/>
    <w:rsid w:val="0029396C"/>
    <w:rsid w:val="002942E2"/>
    <w:rsid w:val="00296BE1"/>
    <w:rsid w:val="002A012B"/>
    <w:rsid w:val="002A0C68"/>
    <w:rsid w:val="002A25CD"/>
    <w:rsid w:val="002A2A89"/>
    <w:rsid w:val="002A4252"/>
    <w:rsid w:val="002A67EE"/>
    <w:rsid w:val="002A7661"/>
    <w:rsid w:val="002B3431"/>
    <w:rsid w:val="002B46EB"/>
    <w:rsid w:val="002B5ADA"/>
    <w:rsid w:val="002B6E04"/>
    <w:rsid w:val="002C036E"/>
    <w:rsid w:val="002D32CF"/>
    <w:rsid w:val="002D37B1"/>
    <w:rsid w:val="002D6AFF"/>
    <w:rsid w:val="002E08BE"/>
    <w:rsid w:val="002E157E"/>
    <w:rsid w:val="002E43AF"/>
    <w:rsid w:val="002E7FE3"/>
    <w:rsid w:val="002F050D"/>
    <w:rsid w:val="002F0AC5"/>
    <w:rsid w:val="002F1332"/>
    <w:rsid w:val="002F145F"/>
    <w:rsid w:val="002F1DCE"/>
    <w:rsid w:val="002F2F68"/>
    <w:rsid w:val="002F30FC"/>
    <w:rsid w:val="002F73FE"/>
    <w:rsid w:val="00305BEA"/>
    <w:rsid w:val="00310AAE"/>
    <w:rsid w:val="003132F5"/>
    <w:rsid w:val="00313583"/>
    <w:rsid w:val="003147F0"/>
    <w:rsid w:val="003162E2"/>
    <w:rsid w:val="00316631"/>
    <w:rsid w:val="00317A41"/>
    <w:rsid w:val="00320CBC"/>
    <w:rsid w:val="00322732"/>
    <w:rsid w:val="0032281E"/>
    <w:rsid w:val="00324328"/>
    <w:rsid w:val="0033332D"/>
    <w:rsid w:val="00334675"/>
    <w:rsid w:val="003353EA"/>
    <w:rsid w:val="00341247"/>
    <w:rsid w:val="003429BE"/>
    <w:rsid w:val="00345AB0"/>
    <w:rsid w:val="0035349A"/>
    <w:rsid w:val="00354A28"/>
    <w:rsid w:val="003600BA"/>
    <w:rsid w:val="003605AB"/>
    <w:rsid w:val="00361178"/>
    <w:rsid w:val="0036684A"/>
    <w:rsid w:val="00371021"/>
    <w:rsid w:val="00372B79"/>
    <w:rsid w:val="00376472"/>
    <w:rsid w:val="00380764"/>
    <w:rsid w:val="003812B3"/>
    <w:rsid w:val="0038798F"/>
    <w:rsid w:val="003915EE"/>
    <w:rsid w:val="00394C6D"/>
    <w:rsid w:val="00396266"/>
    <w:rsid w:val="00396E11"/>
    <w:rsid w:val="003A32B7"/>
    <w:rsid w:val="003A457C"/>
    <w:rsid w:val="003A7226"/>
    <w:rsid w:val="003B2760"/>
    <w:rsid w:val="003B4A0C"/>
    <w:rsid w:val="003B547D"/>
    <w:rsid w:val="003B758A"/>
    <w:rsid w:val="003C5D25"/>
    <w:rsid w:val="003D0928"/>
    <w:rsid w:val="003D1529"/>
    <w:rsid w:val="003D22A1"/>
    <w:rsid w:val="003D54FA"/>
    <w:rsid w:val="003D55ED"/>
    <w:rsid w:val="003D5FBC"/>
    <w:rsid w:val="003D77AC"/>
    <w:rsid w:val="003E115E"/>
    <w:rsid w:val="003F1376"/>
    <w:rsid w:val="003F2617"/>
    <w:rsid w:val="003F2C0B"/>
    <w:rsid w:val="003F311E"/>
    <w:rsid w:val="003F3596"/>
    <w:rsid w:val="003F39BC"/>
    <w:rsid w:val="003F6036"/>
    <w:rsid w:val="0040033A"/>
    <w:rsid w:val="004005E7"/>
    <w:rsid w:val="00400A2D"/>
    <w:rsid w:val="00401EFB"/>
    <w:rsid w:val="00404A14"/>
    <w:rsid w:val="0040569A"/>
    <w:rsid w:val="004075B3"/>
    <w:rsid w:val="00410592"/>
    <w:rsid w:val="004111E3"/>
    <w:rsid w:val="00413956"/>
    <w:rsid w:val="00414F30"/>
    <w:rsid w:val="004159A8"/>
    <w:rsid w:val="0041696D"/>
    <w:rsid w:val="0042024D"/>
    <w:rsid w:val="00421A76"/>
    <w:rsid w:val="0042308B"/>
    <w:rsid w:val="004307C0"/>
    <w:rsid w:val="0043083C"/>
    <w:rsid w:val="00432FB0"/>
    <w:rsid w:val="004371F2"/>
    <w:rsid w:val="00441DB1"/>
    <w:rsid w:val="004429A9"/>
    <w:rsid w:val="004432B6"/>
    <w:rsid w:val="004433B1"/>
    <w:rsid w:val="00443FC0"/>
    <w:rsid w:val="0044573B"/>
    <w:rsid w:val="00450749"/>
    <w:rsid w:val="004526F6"/>
    <w:rsid w:val="00453BDA"/>
    <w:rsid w:val="004623CA"/>
    <w:rsid w:val="00462776"/>
    <w:rsid w:val="00463846"/>
    <w:rsid w:val="004660AE"/>
    <w:rsid w:val="00467B14"/>
    <w:rsid w:val="00470754"/>
    <w:rsid w:val="00470A3F"/>
    <w:rsid w:val="004716D0"/>
    <w:rsid w:val="004802FC"/>
    <w:rsid w:val="004869BC"/>
    <w:rsid w:val="004941D3"/>
    <w:rsid w:val="00497285"/>
    <w:rsid w:val="004A1A1B"/>
    <w:rsid w:val="004A6991"/>
    <w:rsid w:val="004A7D9F"/>
    <w:rsid w:val="004B18AB"/>
    <w:rsid w:val="004B2136"/>
    <w:rsid w:val="004B2EAD"/>
    <w:rsid w:val="004C066C"/>
    <w:rsid w:val="004C1BAB"/>
    <w:rsid w:val="004C4D83"/>
    <w:rsid w:val="004C6C4F"/>
    <w:rsid w:val="004D05C9"/>
    <w:rsid w:val="004D2B1A"/>
    <w:rsid w:val="004D3891"/>
    <w:rsid w:val="004D3F8D"/>
    <w:rsid w:val="004E3457"/>
    <w:rsid w:val="004E5B6D"/>
    <w:rsid w:val="004E6104"/>
    <w:rsid w:val="004E63B8"/>
    <w:rsid w:val="004E65FF"/>
    <w:rsid w:val="004E69FA"/>
    <w:rsid w:val="004F026E"/>
    <w:rsid w:val="004F069C"/>
    <w:rsid w:val="004F1A16"/>
    <w:rsid w:val="004F47E8"/>
    <w:rsid w:val="004F4EF2"/>
    <w:rsid w:val="004F6952"/>
    <w:rsid w:val="004F7EE7"/>
    <w:rsid w:val="005007E6"/>
    <w:rsid w:val="00502D52"/>
    <w:rsid w:val="005058D9"/>
    <w:rsid w:val="00507A67"/>
    <w:rsid w:val="005124BA"/>
    <w:rsid w:val="0051750B"/>
    <w:rsid w:val="0051798F"/>
    <w:rsid w:val="00520C42"/>
    <w:rsid w:val="0052172F"/>
    <w:rsid w:val="00527104"/>
    <w:rsid w:val="00527F33"/>
    <w:rsid w:val="00532EED"/>
    <w:rsid w:val="00534F93"/>
    <w:rsid w:val="0053601F"/>
    <w:rsid w:val="00537089"/>
    <w:rsid w:val="00537508"/>
    <w:rsid w:val="005414DD"/>
    <w:rsid w:val="00542C3B"/>
    <w:rsid w:val="0054396C"/>
    <w:rsid w:val="00544DD7"/>
    <w:rsid w:val="005471FF"/>
    <w:rsid w:val="00550422"/>
    <w:rsid w:val="00550F95"/>
    <w:rsid w:val="005530D4"/>
    <w:rsid w:val="00553EE3"/>
    <w:rsid w:val="00554776"/>
    <w:rsid w:val="00554C9E"/>
    <w:rsid w:val="00554E8F"/>
    <w:rsid w:val="00556FC8"/>
    <w:rsid w:val="005628E2"/>
    <w:rsid w:val="005648EE"/>
    <w:rsid w:val="00565E08"/>
    <w:rsid w:val="005669DA"/>
    <w:rsid w:val="00567DDB"/>
    <w:rsid w:val="00571004"/>
    <w:rsid w:val="00572EF5"/>
    <w:rsid w:val="0057445E"/>
    <w:rsid w:val="00575FB1"/>
    <w:rsid w:val="00576B91"/>
    <w:rsid w:val="00582046"/>
    <w:rsid w:val="005859A1"/>
    <w:rsid w:val="00586DE1"/>
    <w:rsid w:val="0058787F"/>
    <w:rsid w:val="00593613"/>
    <w:rsid w:val="0059486E"/>
    <w:rsid w:val="005959D4"/>
    <w:rsid w:val="00596CE2"/>
    <w:rsid w:val="005A01AE"/>
    <w:rsid w:val="005A0C2E"/>
    <w:rsid w:val="005A1999"/>
    <w:rsid w:val="005A510C"/>
    <w:rsid w:val="005A7011"/>
    <w:rsid w:val="005B02CB"/>
    <w:rsid w:val="005B1DDD"/>
    <w:rsid w:val="005B29AF"/>
    <w:rsid w:val="005B2B61"/>
    <w:rsid w:val="005B38A2"/>
    <w:rsid w:val="005C42D7"/>
    <w:rsid w:val="005C5B4F"/>
    <w:rsid w:val="005C7D59"/>
    <w:rsid w:val="005D016C"/>
    <w:rsid w:val="005D01EC"/>
    <w:rsid w:val="005D1745"/>
    <w:rsid w:val="005D1D99"/>
    <w:rsid w:val="005D53E9"/>
    <w:rsid w:val="005D5DC7"/>
    <w:rsid w:val="005D63C3"/>
    <w:rsid w:val="005D7672"/>
    <w:rsid w:val="005E1A41"/>
    <w:rsid w:val="005E3299"/>
    <w:rsid w:val="005E3BC9"/>
    <w:rsid w:val="005E3C4A"/>
    <w:rsid w:val="005E55E0"/>
    <w:rsid w:val="005F1421"/>
    <w:rsid w:val="005F17F4"/>
    <w:rsid w:val="005F2063"/>
    <w:rsid w:val="005F20EC"/>
    <w:rsid w:val="005F30E8"/>
    <w:rsid w:val="005F3168"/>
    <w:rsid w:val="005F7646"/>
    <w:rsid w:val="005F77E2"/>
    <w:rsid w:val="00600516"/>
    <w:rsid w:val="00600866"/>
    <w:rsid w:val="00600D0D"/>
    <w:rsid w:val="00601EDA"/>
    <w:rsid w:val="006037E3"/>
    <w:rsid w:val="0060434A"/>
    <w:rsid w:val="00605266"/>
    <w:rsid w:val="006067E5"/>
    <w:rsid w:val="00606F83"/>
    <w:rsid w:val="00607D40"/>
    <w:rsid w:val="006107A9"/>
    <w:rsid w:val="00610BEC"/>
    <w:rsid w:val="0061158F"/>
    <w:rsid w:val="0061239F"/>
    <w:rsid w:val="00613BDE"/>
    <w:rsid w:val="00614692"/>
    <w:rsid w:val="006148A8"/>
    <w:rsid w:val="00614F3E"/>
    <w:rsid w:val="0061502D"/>
    <w:rsid w:val="006150A1"/>
    <w:rsid w:val="00615C9E"/>
    <w:rsid w:val="00615CC8"/>
    <w:rsid w:val="00617822"/>
    <w:rsid w:val="00617AB2"/>
    <w:rsid w:val="00621F2E"/>
    <w:rsid w:val="006311D0"/>
    <w:rsid w:val="006328DC"/>
    <w:rsid w:val="00635CFC"/>
    <w:rsid w:val="00637923"/>
    <w:rsid w:val="0064235C"/>
    <w:rsid w:val="00642635"/>
    <w:rsid w:val="006428D4"/>
    <w:rsid w:val="00642E5D"/>
    <w:rsid w:val="00643262"/>
    <w:rsid w:val="006452E7"/>
    <w:rsid w:val="00645D02"/>
    <w:rsid w:val="00646C13"/>
    <w:rsid w:val="00647305"/>
    <w:rsid w:val="00651D6A"/>
    <w:rsid w:val="0065231D"/>
    <w:rsid w:val="006528CB"/>
    <w:rsid w:val="0065425E"/>
    <w:rsid w:val="00661506"/>
    <w:rsid w:val="00661896"/>
    <w:rsid w:val="00662F08"/>
    <w:rsid w:val="00664196"/>
    <w:rsid w:val="006658EA"/>
    <w:rsid w:val="0066683C"/>
    <w:rsid w:val="006673AB"/>
    <w:rsid w:val="00671059"/>
    <w:rsid w:val="006735B5"/>
    <w:rsid w:val="00675822"/>
    <w:rsid w:val="00680161"/>
    <w:rsid w:val="0068490B"/>
    <w:rsid w:val="00685371"/>
    <w:rsid w:val="006866E3"/>
    <w:rsid w:val="006874AA"/>
    <w:rsid w:val="006A17F3"/>
    <w:rsid w:val="006A44C0"/>
    <w:rsid w:val="006A46ED"/>
    <w:rsid w:val="006A50FA"/>
    <w:rsid w:val="006A67C6"/>
    <w:rsid w:val="006B0CB4"/>
    <w:rsid w:val="006B280D"/>
    <w:rsid w:val="006B4F13"/>
    <w:rsid w:val="006B74D2"/>
    <w:rsid w:val="006C0DE5"/>
    <w:rsid w:val="006C27F9"/>
    <w:rsid w:val="006C2A05"/>
    <w:rsid w:val="006C3227"/>
    <w:rsid w:val="006C437B"/>
    <w:rsid w:val="006D14FE"/>
    <w:rsid w:val="006D2795"/>
    <w:rsid w:val="006D2F86"/>
    <w:rsid w:val="006D3E0F"/>
    <w:rsid w:val="006D3FB2"/>
    <w:rsid w:val="006E0A49"/>
    <w:rsid w:val="006E1027"/>
    <w:rsid w:val="006E1896"/>
    <w:rsid w:val="006E2FB6"/>
    <w:rsid w:val="006E4FD7"/>
    <w:rsid w:val="006E5F6D"/>
    <w:rsid w:val="006F0219"/>
    <w:rsid w:val="006F51FF"/>
    <w:rsid w:val="006F7DB9"/>
    <w:rsid w:val="007008D7"/>
    <w:rsid w:val="007033FB"/>
    <w:rsid w:val="0070391A"/>
    <w:rsid w:val="007108AB"/>
    <w:rsid w:val="007111EF"/>
    <w:rsid w:val="00711301"/>
    <w:rsid w:val="00711E41"/>
    <w:rsid w:val="00713BAD"/>
    <w:rsid w:val="00713CAB"/>
    <w:rsid w:val="00715271"/>
    <w:rsid w:val="00715F4D"/>
    <w:rsid w:val="007170FB"/>
    <w:rsid w:val="007177C9"/>
    <w:rsid w:val="00720199"/>
    <w:rsid w:val="0072172B"/>
    <w:rsid w:val="00722FD2"/>
    <w:rsid w:val="00723319"/>
    <w:rsid w:val="007239CE"/>
    <w:rsid w:val="00724E25"/>
    <w:rsid w:val="00725BD7"/>
    <w:rsid w:val="007262B2"/>
    <w:rsid w:val="00726A3F"/>
    <w:rsid w:val="00727219"/>
    <w:rsid w:val="00742D73"/>
    <w:rsid w:val="00744B47"/>
    <w:rsid w:val="007452D8"/>
    <w:rsid w:val="00747018"/>
    <w:rsid w:val="00751035"/>
    <w:rsid w:val="00751B73"/>
    <w:rsid w:val="00752E48"/>
    <w:rsid w:val="007538CA"/>
    <w:rsid w:val="00753CDF"/>
    <w:rsid w:val="007621CE"/>
    <w:rsid w:val="00764E8C"/>
    <w:rsid w:val="0076620C"/>
    <w:rsid w:val="007703BE"/>
    <w:rsid w:val="007739CE"/>
    <w:rsid w:val="00774466"/>
    <w:rsid w:val="00774AD6"/>
    <w:rsid w:val="007825B4"/>
    <w:rsid w:val="00782DCD"/>
    <w:rsid w:val="007852E6"/>
    <w:rsid w:val="00786D9B"/>
    <w:rsid w:val="00786F2E"/>
    <w:rsid w:val="007929D9"/>
    <w:rsid w:val="00793476"/>
    <w:rsid w:val="00794F4B"/>
    <w:rsid w:val="007961BF"/>
    <w:rsid w:val="007A0A40"/>
    <w:rsid w:val="007A52F3"/>
    <w:rsid w:val="007A794A"/>
    <w:rsid w:val="007B03E7"/>
    <w:rsid w:val="007B31F6"/>
    <w:rsid w:val="007B3616"/>
    <w:rsid w:val="007B5808"/>
    <w:rsid w:val="007B5C06"/>
    <w:rsid w:val="007B6A35"/>
    <w:rsid w:val="007B6B49"/>
    <w:rsid w:val="007B7347"/>
    <w:rsid w:val="007B7D26"/>
    <w:rsid w:val="007C4516"/>
    <w:rsid w:val="007C4552"/>
    <w:rsid w:val="007C60FB"/>
    <w:rsid w:val="007C7C02"/>
    <w:rsid w:val="007D0D62"/>
    <w:rsid w:val="007E1EA9"/>
    <w:rsid w:val="007E78C3"/>
    <w:rsid w:val="007F24A5"/>
    <w:rsid w:val="007F2E03"/>
    <w:rsid w:val="007F3328"/>
    <w:rsid w:val="007F44A6"/>
    <w:rsid w:val="007F5019"/>
    <w:rsid w:val="007F6F65"/>
    <w:rsid w:val="008012CB"/>
    <w:rsid w:val="00805BD8"/>
    <w:rsid w:val="00806F98"/>
    <w:rsid w:val="008073C5"/>
    <w:rsid w:val="008118DD"/>
    <w:rsid w:val="00813EA1"/>
    <w:rsid w:val="008143A1"/>
    <w:rsid w:val="00816733"/>
    <w:rsid w:val="008221FD"/>
    <w:rsid w:val="00822F8F"/>
    <w:rsid w:val="0082434F"/>
    <w:rsid w:val="008275D9"/>
    <w:rsid w:val="00827F97"/>
    <w:rsid w:val="008329BD"/>
    <w:rsid w:val="00832D2D"/>
    <w:rsid w:val="008343E3"/>
    <w:rsid w:val="00834E70"/>
    <w:rsid w:val="0083648C"/>
    <w:rsid w:val="00837AA4"/>
    <w:rsid w:val="008406E5"/>
    <w:rsid w:val="00842B6E"/>
    <w:rsid w:val="00843542"/>
    <w:rsid w:val="00847A52"/>
    <w:rsid w:val="0085085C"/>
    <w:rsid w:val="00850AB6"/>
    <w:rsid w:val="00854E94"/>
    <w:rsid w:val="00856CED"/>
    <w:rsid w:val="00857EAD"/>
    <w:rsid w:val="00860F22"/>
    <w:rsid w:val="008725C3"/>
    <w:rsid w:val="00872DF6"/>
    <w:rsid w:val="0087348B"/>
    <w:rsid w:val="00873E11"/>
    <w:rsid w:val="008751E1"/>
    <w:rsid w:val="0087615B"/>
    <w:rsid w:val="00881C09"/>
    <w:rsid w:val="00881D22"/>
    <w:rsid w:val="00883927"/>
    <w:rsid w:val="00893CEC"/>
    <w:rsid w:val="00894BF6"/>
    <w:rsid w:val="00896F55"/>
    <w:rsid w:val="00897601"/>
    <w:rsid w:val="00897DAD"/>
    <w:rsid w:val="008A259C"/>
    <w:rsid w:val="008A35B7"/>
    <w:rsid w:val="008A5F6E"/>
    <w:rsid w:val="008A655E"/>
    <w:rsid w:val="008A6F8F"/>
    <w:rsid w:val="008B0BA1"/>
    <w:rsid w:val="008B5349"/>
    <w:rsid w:val="008B6403"/>
    <w:rsid w:val="008B6745"/>
    <w:rsid w:val="008B7BD5"/>
    <w:rsid w:val="008C28C1"/>
    <w:rsid w:val="008C2B47"/>
    <w:rsid w:val="008C2B78"/>
    <w:rsid w:val="008C2FB1"/>
    <w:rsid w:val="008C37DB"/>
    <w:rsid w:val="008C3BEA"/>
    <w:rsid w:val="008C3E6F"/>
    <w:rsid w:val="008C66BE"/>
    <w:rsid w:val="008D0DEA"/>
    <w:rsid w:val="008D362A"/>
    <w:rsid w:val="008D5CDA"/>
    <w:rsid w:val="008D6BDA"/>
    <w:rsid w:val="008D7F76"/>
    <w:rsid w:val="008F05ED"/>
    <w:rsid w:val="008F225E"/>
    <w:rsid w:val="008F2E7D"/>
    <w:rsid w:val="008F3417"/>
    <w:rsid w:val="008F42B8"/>
    <w:rsid w:val="008F5161"/>
    <w:rsid w:val="008F5721"/>
    <w:rsid w:val="008F6BEC"/>
    <w:rsid w:val="008F6F07"/>
    <w:rsid w:val="008F728F"/>
    <w:rsid w:val="0090398A"/>
    <w:rsid w:val="00903A16"/>
    <w:rsid w:val="00903D1C"/>
    <w:rsid w:val="009049C3"/>
    <w:rsid w:val="00905299"/>
    <w:rsid w:val="009054B0"/>
    <w:rsid w:val="00906425"/>
    <w:rsid w:val="009113A3"/>
    <w:rsid w:val="00911C2D"/>
    <w:rsid w:val="00913FF7"/>
    <w:rsid w:val="00916BC0"/>
    <w:rsid w:val="00917180"/>
    <w:rsid w:val="00922A49"/>
    <w:rsid w:val="00931519"/>
    <w:rsid w:val="0093443E"/>
    <w:rsid w:val="00934C6F"/>
    <w:rsid w:val="00936C1D"/>
    <w:rsid w:val="00937EE6"/>
    <w:rsid w:val="00950160"/>
    <w:rsid w:val="0095148D"/>
    <w:rsid w:val="00951DFC"/>
    <w:rsid w:val="00955134"/>
    <w:rsid w:val="0095733F"/>
    <w:rsid w:val="0095784E"/>
    <w:rsid w:val="00957857"/>
    <w:rsid w:val="00957CC9"/>
    <w:rsid w:val="00957F2E"/>
    <w:rsid w:val="00961391"/>
    <w:rsid w:val="009620A5"/>
    <w:rsid w:val="00964168"/>
    <w:rsid w:val="00973F26"/>
    <w:rsid w:val="00975F72"/>
    <w:rsid w:val="009806F9"/>
    <w:rsid w:val="0098113D"/>
    <w:rsid w:val="0098245A"/>
    <w:rsid w:val="00983732"/>
    <w:rsid w:val="00985114"/>
    <w:rsid w:val="00991AE3"/>
    <w:rsid w:val="00996804"/>
    <w:rsid w:val="00997283"/>
    <w:rsid w:val="009A0082"/>
    <w:rsid w:val="009A32D1"/>
    <w:rsid w:val="009A4C77"/>
    <w:rsid w:val="009A52C2"/>
    <w:rsid w:val="009A53DA"/>
    <w:rsid w:val="009A5E23"/>
    <w:rsid w:val="009A6E96"/>
    <w:rsid w:val="009B20D5"/>
    <w:rsid w:val="009B2241"/>
    <w:rsid w:val="009B2D58"/>
    <w:rsid w:val="009B48D7"/>
    <w:rsid w:val="009B7E31"/>
    <w:rsid w:val="009C1818"/>
    <w:rsid w:val="009C25EB"/>
    <w:rsid w:val="009C509E"/>
    <w:rsid w:val="009C5F2F"/>
    <w:rsid w:val="009C6203"/>
    <w:rsid w:val="009C7E85"/>
    <w:rsid w:val="009D00AE"/>
    <w:rsid w:val="009D02EB"/>
    <w:rsid w:val="009D0AAA"/>
    <w:rsid w:val="009D23D0"/>
    <w:rsid w:val="009D2C87"/>
    <w:rsid w:val="009D2EEB"/>
    <w:rsid w:val="009D3DC8"/>
    <w:rsid w:val="009D5C51"/>
    <w:rsid w:val="009E40A3"/>
    <w:rsid w:val="009E4824"/>
    <w:rsid w:val="009E549A"/>
    <w:rsid w:val="009E6125"/>
    <w:rsid w:val="009F115E"/>
    <w:rsid w:val="009F2370"/>
    <w:rsid w:val="009F41C1"/>
    <w:rsid w:val="009F5065"/>
    <w:rsid w:val="009F550B"/>
    <w:rsid w:val="009F68CA"/>
    <w:rsid w:val="009F6B9B"/>
    <w:rsid w:val="009F7A84"/>
    <w:rsid w:val="00A0159E"/>
    <w:rsid w:val="00A0337A"/>
    <w:rsid w:val="00A03E03"/>
    <w:rsid w:val="00A11A8E"/>
    <w:rsid w:val="00A12F59"/>
    <w:rsid w:val="00A14DE0"/>
    <w:rsid w:val="00A16C08"/>
    <w:rsid w:val="00A170CC"/>
    <w:rsid w:val="00A1745F"/>
    <w:rsid w:val="00A17A77"/>
    <w:rsid w:val="00A21BFC"/>
    <w:rsid w:val="00A2498B"/>
    <w:rsid w:val="00A24EE1"/>
    <w:rsid w:val="00A25126"/>
    <w:rsid w:val="00A2584C"/>
    <w:rsid w:val="00A3190E"/>
    <w:rsid w:val="00A328C1"/>
    <w:rsid w:val="00A36A48"/>
    <w:rsid w:val="00A36D15"/>
    <w:rsid w:val="00A43A4A"/>
    <w:rsid w:val="00A443EB"/>
    <w:rsid w:val="00A44A88"/>
    <w:rsid w:val="00A450B7"/>
    <w:rsid w:val="00A45CF5"/>
    <w:rsid w:val="00A46437"/>
    <w:rsid w:val="00A51BD9"/>
    <w:rsid w:val="00A535DE"/>
    <w:rsid w:val="00A54615"/>
    <w:rsid w:val="00A56C92"/>
    <w:rsid w:val="00A61D82"/>
    <w:rsid w:val="00A626BC"/>
    <w:rsid w:val="00A66C61"/>
    <w:rsid w:val="00A66DF8"/>
    <w:rsid w:val="00A7491D"/>
    <w:rsid w:val="00A75EE6"/>
    <w:rsid w:val="00A81B84"/>
    <w:rsid w:val="00A82086"/>
    <w:rsid w:val="00A840E5"/>
    <w:rsid w:val="00A8529A"/>
    <w:rsid w:val="00A87856"/>
    <w:rsid w:val="00A90169"/>
    <w:rsid w:val="00A91E5F"/>
    <w:rsid w:val="00A924F1"/>
    <w:rsid w:val="00A92BD8"/>
    <w:rsid w:val="00A9338E"/>
    <w:rsid w:val="00A9375D"/>
    <w:rsid w:val="00AA1446"/>
    <w:rsid w:val="00AA1FD9"/>
    <w:rsid w:val="00AA393C"/>
    <w:rsid w:val="00AA62BE"/>
    <w:rsid w:val="00AA7352"/>
    <w:rsid w:val="00AA77F4"/>
    <w:rsid w:val="00AB1188"/>
    <w:rsid w:val="00AB2BC7"/>
    <w:rsid w:val="00AB47AA"/>
    <w:rsid w:val="00AB7869"/>
    <w:rsid w:val="00AC6E95"/>
    <w:rsid w:val="00AD2F09"/>
    <w:rsid w:val="00AD4155"/>
    <w:rsid w:val="00AD452D"/>
    <w:rsid w:val="00AD4717"/>
    <w:rsid w:val="00AE1333"/>
    <w:rsid w:val="00AE294C"/>
    <w:rsid w:val="00AE63BA"/>
    <w:rsid w:val="00AF225F"/>
    <w:rsid w:val="00AF39DB"/>
    <w:rsid w:val="00AF6B1C"/>
    <w:rsid w:val="00AF6FB1"/>
    <w:rsid w:val="00AF73FD"/>
    <w:rsid w:val="00AF784E"/>
    <w:rsid w:val="00AF7A24"/>
    <w:rsid w:val="00B02CC7"/>
    <w:rsid w:val="00B03D98"/>
    <w:rsid w:val="00B06F6F"/>
    <w:rsid w:val="00B1070D"/>
    <w:rsid w:val="00B11D95"/>
    <w:rsid w:val="00B12ABB"/>
    <w:rsid w:val="00B1530E"/>
    <w:rsid w:val="00B2570C"/>
    <w:rsid w:val="00B30D1F"/>
    <w:rsid w:val="00B30F3B"/>
    <w:rsid w:val="00B335A5"/>
    <w:rsid w:val="00B3495F"/>
    <w:rsid w:val="00B35C7A"/>
    <w:rsid w:val="00B369F9"/>
    <w:rsid w:val="00B4080C"/>
    <w:rsid w:val="00B42B37"/>
    <w:rsid w:val="00B45624"/>
    <w:rsid w:val="00B52E4C"/>
    <w:rsid w:val="00B56A21"/>
    <w:rsid w:val="00B61CB6"/>
    <w:rsid w:val="00B63EFD"/>
    <w:rsid w:val="00B7225B"/>
    <w:rsid w:val="00B741D9"/>
    <w:rsid w:val="00B76A33"/>
    <w:rsid w:val="00B772E3"/>
    <w:rsid w:val="00B77A31"/>
    <w:rsid w:val="00B77BCA"/>
    <w:rsid w:val="00B80FB0"/>
    <w:rsid w:val="00B81418"/>
    <w:rsid w:val="00B81808"/>
    <w:rsid w:val="00B846E5"/>
    <w:rsid w:val="00B85219"/>
    <w:rsid w:val="00B8684D"/>
    <w:rsid w:val="00B86E64"/>
    <w:rsid w:val="00B87839"/>
    <w:rsid w:val="00B906E9"/>
    <w:rsid w:val="00B9098F"/>
    <w:rsid w:val="00B91BF5"/>
    <w:rsid w:val="00B92BAD"/>
    <w:rsid w:val="00B93D58"/>
    <w:rsid w:val="00B9433D"/>
    <w:rsid w:val="00B963DD"/>
    <w:rsid w:val="00B966E8"/>
    <w:rsid w:val="00B97C13"/>
    <w:rsid w:val="00BA073B"/>
    <w:rsid w:val="00BA298C"/>
    <w:rsid w:val="00BA58B7"/>
    <w:rsid w:val="00BA5F54"/>
    <w:rsid w:val="00BA7AA4"/>
    <w:rsid w:val="00BB1154"/>
    <w:rsid w:val="00BB7123"/>
    <w:rsid w:val="00BB793E"/>
    <w:rsid w:val="00BC2721"/>
    <w:rsid w:val="00BC2C80"/>
    <w:rsid w:val="00BC413F"/>
    <w:rsid w:val="00BC4852"/>
    <w:rsid w:val="00BC48AA"/>
    <w:rsid w:val="00BC7050"/>
    <w:rsid w:val="00BD2093"/>
    <w:rsid w:val="00BD2982"/>
    <w:rsid w:val="00BD434C"/>
    <w:rsid w:val="00BD50FC"/>
    <w:rsid w:val="00BD62F2"/>
    <w:rsid w:val="00BD763B"/>
    <w:rsid w:val="00BE165D"/>
    <w:rsid w:val="00BE24AC"/>
    <w:rsid w:val="00BF044A"/>
    <w:rsid w:val="00BF1834"/>
    <w:rsid w:val="00BF21AE"/>
    <w:rsid w:val="00BF2A3B"/>
    <w:rsid w:val="00BF4136"/>
    <w:rsid w:val="00C024B2"/>
    <w:rsid w:val="00C05461"/>
    <w:rsid w:val="00C074BA"/>
    <w:rsid w:val="00C125F7"/>
    <w:rsid w:val="00C14F88"/>
    <w:rsid w:val="00C20D5E"/>
    <w:rsid w:val="00C21672"/>
    <w:rsid w:val="00C23E0C"/>
    <w:rsid w:val="00C3046D"/>
    <w:rsid w:val="00C32F26"/>
    <w:rsid w:val="00C32FAE"/>
    <w:rsid w:val="00C344F5"/>
    <w:rsid w:val="00C34A3E"/>
    <w:rsid w:val="00C42A1B"/>
    <w:rsid w:val="00C43558"/>
    <w:rsid w:val="00C44291"/>
    <w:rsid w:val="00C46C1D"/>
    <w:rsid w:val="00C62DA2"/>
    <w:rsid w:val="00C64F81"/>
    <w:rsid w:val="00C67FA7"/>
    <w:rsid w:val="00C70906"/>
    <w:rsid w:val="00C7562D"/>
    <w:rsid w:val="00C761D3"/>
    <w:rsid w:val="00C7756C"/>
    <w:rsid w:val="00C77F2C"/>
    <w:rsid w:val="00C8156F"/>
    <w:rsid w:val="00C824AF"/>
    <w:rsid w:val="00C82816"/>
    <w:rsid w:val="00C83A0E"/>
    <w:rsid w:val="00C872DC"/>
    <w:rsid w:val="00C9397D"/>
    <w:rsid w:val="00CA62A1"/>
    <w:rsid w:val="00CA7050"/>
    <w:rsid w:val="00CA7840"/>
    <w:rsid w:val="00CA79E0"/>
    <w:rsid w:val="00CB0D75"/>
    <w:rsid w:val="00CB189C"/>
    <w:rsid w:val="00CB32BB"/>
    <w:rsid w:val="00CB3840"/>
    <w:rsid w:val="00CB3C5B"/>
    <w:rsid w:val="00CB530C"/>
    <w:rsid w:val="00CB71A5"/>
    <w:rsid w:val="00CC058D"/>
    <w:rsid w:val="00CC206C"/>
    <w:rsid w:val="00CC7817"/>
    <w:rsid w:val="00CD3339"/>
    <w:rsid w:val="00CD4A00"/>
    <w:rsid w:val="00CE095C"/>
    <w:rsid w:val="00CE40DE"/>
    <w:rsid w:val="00CF067A"/>
    <w:rsid w:val="00CF0A4B"/>
    <w:rsid w:val="00CF1514"/>
    <w:rsid w:val="00CF1C4E"/>
    <w:rsid w:val="00CF2E7F"/>
    <w:rsid w:val="00CF3717"/>
    <w:rsid w:val="00CF4DAD"/>
    <w:rsid w:val="00CF5746"/>
    <w:rsid w:val="00CF58F9"/>
    <w:rsid w:val="00CF6627"/>
    <w:rsid w:val="00CF6923"/>
    <w:rsid w:val="00D019A3"/>
    <w:rsid w:val="00D02458"/>
    <w:rsid w:val="00D06A43"/>
    <w:rsid w:val="00D102E1"/>
    <w:rsid w:val="00D10CBB"/>
    <w:rsid w:val="00D1337C"/>
    <w:rsid w:val="00D13705"/>
    <w:rsid w:val="00D145E6"/>
    <w:rsid w:val="00D20A0D"/>
    <w:rsid w:val="00D224AD"/>
    <w:rsid w:val="00D2255C"/>
    <w:rsid w:val="00D22E68"/>
    <w:rsid w:val="00D34DF2"/>
    <w:rsid w:val="00D35229"/>
    <w:rsid w:val="00D35323"/>
    <w:rsid w:val="00D3538D"/>
    <w:rsid w:val="00D35C1F"/>
    <w:rsid w:val="00D408EC"/>
    <w:rsid w:val="00D43FF5"/>
    <w:rsid w:val="00D543EC"/>
    <w:rsid w:val="00D6085E"/>
    <w:rsid w:val="00D64D68"/>
    <w:rsid w:val="00D65F8B"/>
    <w:rsid w:val="00D7019B"/>
    <w:rsid w:val="00D70561"/>
    <w:rsid w:val="00D70568"/>
    <w:rsid w:val="00D70D36"/>
    <w:rsid w:val="00D71B20"/>
    <w:rsid w:val="00D745EE"/>
    <w:rsid w:val="00D7635E"/>
    <w:rsid w:val="00D832BC"/>
    <w:rsid w:val="00D83759"/>
    <w:rsid w:val="00D84487"/>
    <w:rsid w:val="00D86260"/>
    <w:rsid w:val="00D86278"/>
    <w:rsid w:val="00D866A9"/>
    <w:rsid w:val="00D90932"/>
    <w:rsid w:val="00D93A93"/>
    <w:rsid w:val="00D93DA8"/>
    <w:rsid w:val="00D95929"/>
    <w:rsid w:val="00DA0833"/>
    <w:rsid w:val="00DA13FD"/>
    <w:rsid w:val="00DB07BC"/>
    <w:rsid w:val="00DB1648"/>
    <w:rsid w:val="00DB26B5"/>
    <w:rsid w:val="00DB2C35"/>
    <w:rsid w:val="00DB2D51"/>
    <w:rsid w:val="00DB6E64"/>
    <w:rsid w:val="00DC19C9"/>
    <w:rsid w:val="00DC33BA"/>
    <w:rsid w:val="00DC3E5C"/>
    <w:rsid w:val="00DC41BD"/>
    <w:rsid w:val="00DD12CA"/>
    <w:rsid w:val="00DD42A0"/>
    <w:rsid w:val="00DD6330"/>
    <w:rsid w:val="00DD6A55"/>
    <w:rsid w:val="00DE5D00"/>
    <w:rsid w:val="00DF1630"/>
    <w:rsid w:val="00DF390C"/>
    <w:rsid w:val="00DF3A52"/>
    <w:rsid w:val="00DF5005"/>
    <w:rsid w:val="00DF7519"/>
    <w:rsid w:val="00E009AC"/>
    <w:rsid w:val="00E06677"/>
    <w:rsid w:val="00E07E78"/>
    <w:rsid w:val="00E13136"/>
    <w:rsid w:val="00E13C85"/>
    <w:rsid w:val="00E24F26"/>
    <w:rsid w:val="00E25B78"/>
    <w:rsid w:val="00E27E16"/>
    <w:rsid w:val="00E31DD7"/>
    <w:rsid w:val="00E3341B"/>
    <w:rsid w:val="00E36B26"/>
    <w:rsid w:val="00E40E93"/>
    <w:rsid w:val="00E439E8"/>
    <w:rsid w:val="00E45B0C"/>
    <w:rsid w:val="00E4638D"/>
    <w:rsid w:val="00E46536"/>
    <w:rsid w:val="00E47E03"/>
    <w:rsid w:val="00E52445"/>
    <w:rsid w:val="00E526E5"/>
    <w:rsid w:val="00E56575"/>
    <w:rsid w:val="00E56BDC"/>
    <w:rsid w:val="00E60BC6"/>
    <w:rsid w:val="00E61566"/>
    <w:rsid w:val="00E6255A"/>
    <w:rsid w:val="00E63067"/>
    <w:rsid w:val="00E64A3D"/>
    <w:rsid w:val="00E65EFC"/>
    <w:rsid w:val="00E66F0D"/>
    <w:rsid w:val="00E72004"/>
    <w:rsid w:val="00E73064"/>
    <w:rsid w:val="00E74FB8"/>
    <w:rsid w:val="00E7680D"/>
    <w:rsid w:val="00E77DD9"/>
    <w:rsid w:val="00E80017"/>
    <w:rsid w:val="00E81FBA"/>
    <w:rsid w:val="00E8575B"/>
    <w:rsid w:val="00E861C3"/>
    <w:rsid w:val="00E90730"/>
    <w:rsid w:val="00E9231C"/>
    <w:rsid w:val="00E9392A"/>
    <w:rsid w:val="00E955BA"/>
    <w:rsid w:val="00EA0114"/>
    <w:rsid w:val="00EB1482"/>
    <w:rsid w:val="00EB2B4E"/>
    <w:rsid w:val="00EB2BC8"/>
    <w:rsid w:val="00EB45E6"/>
    <w:rsid w:val="00EB573B"/>
    <w:rsid w:val="00EB5C9E"/>
    <w:rsid w:val="00EB7B19"/>
    <w:rsid w:val="00EC0752"/>
    <w:rsid w:val="00EC2265"/>
    <w:rsid w:val="00EC2CBF"/>
    <w:rsid w:val="00EC40B0"/>
    <w:rsid w:val="00EC42E7"/>
    <w:rsid w:val="00EC5B95"/>
    <w:rsid w:val="00EC6C25"/>
    <w:rsid w:val="00ED2519"/>
    <w:rsid w:val="00ED41C8"/>
    <w:rsid w:val="00ED5FDA"/>
    <w:rsid w:val="00ED65FA"/>
    <w:rsid w:val="00ED6651"/>
    <w:rsid w:val="00EE2C12"/>
    <w:rsid w:val="00EE31CD"/>
    <w:rsid w:val="00EE4634"/>
    <w:rsid w:val="00EE5EC3"/>
    <w:rsid w:val="00EE70FB"/>
    <w:rsid w:val="00EE7126"/>
    <w:rsid w:val="00EF1D8F"/>
    <w:rsid w:val="00EF3E2A"/>
    <w:rsid w:val="00EF548F"/>
    <w:rsid w:val="00EF562B"/>
    <w:rsid w:val="00EF5DBA"/>
    <w:rsid w:val="00EF7E62"/>
    <w:rsid w:val="00F0269F"/>
    <w:rsid w:val="00F040A2"/>
    <w:rsid w:val="00F05C0E"/>
    <w:rsid w:val="00F06730"/>
    <w:rsid w:val="00F06F5D"/>
    <w:rsid w:val="00F1270F"/>
    <w:rsid w:val="00F12BED"/>
    <w:rsid w:val="00F141BB"/>
    <w:rsid w:val="00F14FAB"/>
    <w:rsid w:val="00F207BC"/>
    <w:rsid w:val="00F20FAF"/>
    <w:rsid w:val="00F22583"/>
    <w:rsid w:val="00F24ED8"/>
    <w:rsid w:val="00F25CAA"/>
    <w:rsid w:val="00F25FBD"/>
    <w:rsid w:val="00F30FAE"/>
    <w:rsid w:val="00F32FDA"/>
    <w:rsid w:val="00F33CE4"/>
    <w:rsid w:val="00F3579B"/>
    <w:rsid w:val="00F36DEB"/>
    <w:rsid w:val="00F370E4"/>
    <w:rsid w:val="00F40112"/>
    <w:rsid w:val="00F42DAF"/>
    <w:rsid w:val="00F473B0"/>
    <w:rsid w:val="00F47A9D"/>
    <w:rsid w:val="00F5077D"/>
    <w:rsid w:val="00F511B6"/>
    <w:rsid w:val="00F52703"/>
    <w:rsid w:val="00F560FB"/>
    <w:rsid w:val="00F615A5"/>
    <w:rsid w:val="00F62A63"/>
    <w:rsid w:val="00F62BD5"/>
    <w:rsid w:val="00F630F1"/>
    <w:rsid w:val="00F70085"/>
    <w:rsid w:val="00F712B6"/>
    <w:rsid w:val="00F71B00"/>
    <w:rsid w:val="00F8333E"/>
    <w:rsid w:val="00F839ED"/>
    <w:rsid w:val="00F84210"/>
    <w:rsid w:val="00F86DFD"/>
    <w:rsid w:val="00F9297B"/>
    <w:rsid w:val="00F9402A"/>
    <w:rsid w:val="00F94FF8"/>
    <w:rsid w:val="00F968B7"/>
    <w:rsid w:val="00FA129F"/>
    <w:rsid w:val="00FA23A8"/>
    <w:rsid w:val="00FA4C3E"/>
    <w:rsid w:val="00FA7943"/>
    <w:rsid w:val="00FA7D97"/>
    <w:rsid w:val="00FB0DA0"/>
    <w:rsid w:val="00FB34C3"/>
    <w:rsid w:val="00FB4CE4"/>
    <w:rsid w:val="00FB7FB5"/>
    <w:rsid w:val="00FC028B"/>
    <w:rsid w:val="00FC0609"/>
    <w:rsid w:val="00FC4B06"/>
    <w:rsid w:val="00FD0795"/>
    <w:rsid w:val="00FD089F"/>
    <w:rsid w:val="00FD0B09"/>
    <w:rsid w:val="00FD4CCD"/>
    <w:rsid w:val="00FD6EB7"/>
    <w:rsid w:val="00FE0474"/>
    <w:rsid w:val="00FE64FE"/>
    <w:rsid w:val="00FE7C22"/>
    <w:rsid w:val="00FF12D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BBA605"/>
  <w15:docId w15:val="{5225454C-DD8C-4EE1-9A9C-F5370B300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F39BC"/>
    <w:pPr>
      <w:spacing w:after="200" w:line="276" w:lineRule="auto"/>
    </w:pPr>
  </w:style>
  <w:style w:type="paragraph" w:styleId="1">
    <w:name w:val="heading 1"/>
    <w:basedOn w:val="a0"/>
    <w:next w:val="a0"/>
    <w:link w:val="10"/>
    <w:qFormat/>
    <w:rsid w:val="003F39BC"/>
    <w:pPr>
      <w:keepNext/>
      <w:spacing w:after="0" w:line="240" w:lineRule="auto"/>
      <w:jc w:val="both"/>
      <w:outlineLvl w:val="0"/>
    </w:pPr>
    <w:rPr>
      <w:rFonts w:ascii="Times New Roman" w:eastAsia="Times New Roman" w:hAnsi="Times New Roman" w:cs="Times New Roman"/>
      <w:b/>
      <w:bCs/>
      <w:sz w:val="24"/>
      <w:szCs w:val="24"/>
      <w:lang w:eastAsia="ru-RU"/>
    </w:rPr>
  </w:style>
  <w:style w:type="paragraph" w:styleId="2">
    <w:name w:val="heading 2"/>
    <w:aliases w:val="h2,Заголовок 2 Знак Знак"/>
    <w:basedOn w:val="a0"/>
    <w:next w:val="a0"/>
    <w:link w:val="20"/>
    <w:qFormat/>
    <w:rsid w:val="003F39BC"/>
    <w:pPr>
      <w:keepNext/>
      <w:spacing w:after="0" w:line="240" w:lineRule="auto"/>
      <w:jc w:val="both"/>
      <w:outlineLvl w:val="1"/>
    </w:pPr>
    <w:rPr>
      <w:rFonts w:ascii="Times New Roman" w:eastAsia="Times New Roman" w:hAnsi="Times New Roman" w:cs="Times New Roman"/>
      <w:b/>
      <w:bCs/>
      <w:sz w:val="18"/>
      <w:szCs w:val="24"/>
      <w:lang w:eastAsia="ru-RU"/>
    </w:rPr>
  </w:style>
  <w:style w:type="paragraph" w:styleId="3">
    <w:name w:val="heading 3"/>
    <w:basedOn w:val="a0"/>
    <w:next w:val="a0"/>
    <w:link w:val="30"/>
    <w:qFormat/>
    <w:rsid w:val="003F39BC"/>
    <w:pPr>
      <w:keepNext/>
      <w:spacing w:after="0" w:line="240" w:lineRule="auto"/>
      <w:jc w:val="both"/>
      <w:outlineLvl w:val="2"/>
    </w:pPr>
    <w:rPr>
      <w:rFonts w:ascii="Times New Roman" w:eastAsia="Times New Roman" w:hAnsi="Times New Roman" w:cs="Times New Roman"/>
      <w:b/>
      <w:bCs/>
      <w:szCs w:val="24"/>
      <w:lang w:eastAsia="ru-RU"/>
    </w:rPr>
  </w:style>
  <w:style w:type="paragraph" w:styleId="4">
    <w:name w:val="heading 4"/>
    <w:basedOn w:val="a0"/>
    <w:next w:val="a0"/>
    <w:link w:val="40"/>
    <w:qFormat/>
    <w:rsid w:val="003F39BC"/>
    <w:pPr>
      <w:keepNext/>
      <w:spacing w:after="0" w:line="240" w:lineRule="auto"/>
      <w:ind w:left="4248" w:firstLine="708"/>
      <w:outlineLvl w:val="3"/>
    </w:pPr>
    <w:rPr>
      <w:rFonts w:ascii="Times New Roman" w:eastAsia="Times New Roman" w:hAnsi="Times New Roman" w:cs="Times New Roman"/>
      <w:sz w:val="28"/>
      <w:szCs w:val="24"/>
      <w:lang w:eastAsia="ru-RU"/>
    </w:rPr>
  </w:style>
  <w:style w:type="paragraph" w:styleId="5">
    <w:name w:val="heading 5"/>
    <w:basedOn w:val="a0"/>
    <w:next w:val="a0"/>
    <w:link w:val="50"/>
    <w:qFormat/>
    <w:rsid w:val="003F39BC"/>
    <w:pPr>
      <w:keepNext/>
      <w:spacing w:after="0" w:line="240" w:lineRule="auto"/>
      <w:ind w:firstLine="708"/>
      <w:jc w:val="center"/>
      <w:outlineLvl w:val="4"/>
    </w:pPr>
    <w:rPr>
      <w:rFonts w:ascii="Times New Roman" w:eastAsia="Times New Roman" w:hAnsi="Times New Roman" w:cs="Times New Roman"/>
      <w:b/>
      <w:bCs/>
      <w:sz w:val="24"/>
      <w:szCs w:val="24"/>
      <w:lang w:eastAsia="ru-RU"/>
    </w:rPr>
  </w:style>
  <w:style w:type="paragraph" w:styleId="6">
    <w:name w:val="heading 6"/>
    <w:basedOn w:val="a0"/>
    <w:next w:val="a0"/>
    <w:link w:val="60"/>
    <w:unhideWhenUsed/>
    <w:qFormat/>
    <w:rsid w:val="003F39BC"/>
    <w:pPr>
      <w:spacing w:before="240" w:after="60" w:line="240" w:lineRule="auto"/>
      <w:outlineLvl w:val="5"/>
    </w:pPr>
    <w:rPr>
      <w:rFonts w:eastAsiaTheme="minorEastAsia"/>
      <w:b/>
      <w:bCs/>
      <w:lang w:eastAsia="ru-RU"/>
    </w:rPr>
  </w:style>
  <w:style w:type="paragraph" w:styleId="7">
    <w:name w:val="heading 7"/>
    <w:basedOn w:val="a0"/>
    <w:next w:val="a0"/>
    <w:link w:val="70"/>
    <w:qFormat/>
    <w:rsid w:val="003F39BC"/>
    <w:p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0"/>
    <w:next w:val="a0"/>
    <w:link w:val="80"/>
    <w:qFormat/>
    <w:rsid w:val="003F39BC"/>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0"/>
    <w:next w:val="a0"/>
    <w:link w:val="90"/>
    <w:qFormat/>
    <w:rsid w:val="003F39BC"/>
    <w:pPr>
      <w:spacing w:before="240" w:after="60" w:line="240" w:lineRule="auto"/>
      <w:outlineLvl w:val="8"/>
    </w:pPr>
    <w:rPr>
      <w:rFonts w:ascii="Arial" w:eastAsia="Times New Roman" w:hAnsi="Arial" w:cs="Arial"/>
      <w:lang w:eastAsia="ru-RU"/>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3F39BC"/>
    <w:rPr>
      <w:rFonts w:ascii="Times New Roman" w:eastAsia="Times New Roman" w:hAnsi="Times New Roman" w:cs="Times New Roman"/>
      <w:b/>
      <w:bCs/>
      <w:sz w:val="24"/>
      <w:szCs w:val="24"/>
      <w:lang w:eastAsia="ru-RU"/>
    </w:rPr>
  </w:style>
  <w:style w:type="character" w:customStyle="1" w:styleId="20">
    <w:name w:val="Заголовок 2 Знак"/>
    <w:aliases w:val="h2 Знак,Заголовок 2 Знак Знак Знак"/>
    <w:basedOn w:val="a1"/>
    <w:link w:val="2"/>
    <w:rsid w:val="003F39BC"/>
    <w:rPr>
      <w:rFonts w:ascii="Times New Roman" w:eastAsia="Times New Roman" w:hAnsi="Times New Roman" w:cs="Times New Roman"/>
      <w:b/>
      <w:bCs/>
      <w:sz w:val="18"/>
      <w:szCs w:val="24"/>
      <w:lang w:eastAsia="ru-RU"/>
    </w:rPr>
  </w:style>
  <w:style w:type="character" w:customStyle="1" w:styleId="30">
    <w:name w:val="Заголовок 3 Знак"/>
    <w:basedOn w:val="a1"/>
    <w:link w:val="3"/>
    <w:rsid w:val="003F39BC"/>
    <w:rPr>
      <w:rFonts w:ascii="Times New Roman" w:eastAsia="Times New Roman" w:hAnsi="Times New Roman" w:cs="Times New Roman"/>
      <w:b/>
      <w:bCs/>
      <w:szCs w:val="24"/>
      <w:lang w:eastAsia="ru-RU"/>
    </w:rPr>
  </w:style>
  <w:style w:type="character" w:customStyle="1" w:styleId="40">
    <w:name w:val="Заголовок 4 Знак"/>
    <w:basedOn w:val="a1"/>
    <w:link w:val="4"/>
    <w:rsid w:val="003F39BC"/>
    <w:rPr>
      <w:rFonts w:ascii="Times New Roman" w:eastAsia="Times New Roman" w:hAnsi="Times New Roman" w:cs="Times New Roman"/>
      <w:sz w:val="28"/>
      <w:szCs w:val="24"/>
      <w:lang w:eastAsia="ru-RU"/>
    </w:rPr>
  </w:style>
  <w:style w:type="character" w:customStyle="1" w:styleId="50">
    <w:name w:val="Заголовок 5 Знак"/>
    <w:basedOn w:val="a1"/>
    <w:link w:val="5"/>
    <w:rsid w:val="003F39BC"/>
    <w:rPr>
      <w:rFonts w:ascii="Times New Roman" w:eastAsia="Times New Roman" w:hAnsi="Times New Roman" w:cs="Times New Roman"/>
      <w:b/>
      <w:bCs/>
      <w:sz w:val="24"/>
      <w:szCs w:val="24"/>
      <w:lang w:eastAsia="ru-RU"/>
    </w:rPr>
  </w:style>
  <w:style w:type="character" w:customStyle="1" w:styleId="60">
    <w:name w:val="Заголовок 6 Знак"/>
    <w:basedOn w:val="a1"/>
    <w:link w:val="6"/>
    <w:rsid w:val="003F39BC"/>
    <w:rPr>
      <w:rFonts w:eastAsiaTheme="minorEastAsia"/>
      <w:b/>
      <w:bCs/>
      <w:lang w:eastAsia="ru-RU"/>
    </w:rPr>
  </w:style>
  <w:style w:type="character" w:customStyle="1" w:styleId="70">
    <w:name w:val="Заголовок 7 Знак"/>
    <w:basedOn w:val="a1"/>
    <w:link w:val="7"/>
    <w:rsid w:val="003F39BC"/>
    <w:rPr>
      <w:rFonts w:ascii="Times New Roman" w:eastAsia="Times New Roman" w:hAnsi="Times New Roman" w:cs="Times New Roman"/>
      <w:sz w:val="24"/>
      <w:szCs w:val="24"/>
      <w:lang w:eastAsia="ru-RU"/>
    </w:rPr>
  </w:style>
  <w:style w:type="character" w:customStyle="1" w:styleId="80">
    <w:name w:val="Заголовок 8 Знак"/>
    <w:basedOn w:val="a1"/>
    <w:link w:val="8"/>
    <w:rsid w:val="003F39BC"/>
    <w:rPr>
      <w:rFonts w:ascii="Times New Roman" w:eastAsia="Times New Roman" w:hAnsi="Times New Roman" w:cs="Times New Roman"/>
      <w:i/>
      <w:iCs/>
      <w:sz w:val="24"/>
      <w:szCs w:val="24"/>
      <w:lang w:eastAsia="ru-RU"/>
    </w:rPr>
  </w:style>
  <w:style w:type="character" w:customStyle="1" w:styleId="90">
    <w:name w:val="Заголовок 9 Знак"/>
    <w:basedOn w:val="a1"/>
    <w:link w:val="9"/>
    <w:rsid w:val="003F39BC"/>
    <w:rPr>
      <w:rFonts w:ascii="Arial" w:eastAsia="Times New Roman" w:hAnsi="Arial" w:cs="Arial"/>
      <w:lang w:eastAsia="ru-RU"/>
    </w:rPr>
  </w:style>
  <w:style w:type="paragraph" w:styleId="21">
    <w:name w:val="Body Text 2"/>
    <w:basedOn w:val="a0"/>
    <w:link w:val="22"/>
    <w:rsid w:val="003F39BC"/>
    <w:pPr>
      <w:spacing w:after="0" w:line="240" w:lineRule="auto"/>
    </w:pPr>
    <w:rPr>
      <w:rFonts w:ascii="Times New Roman" w:eastAsia="Times New Roman" w:hAnsi="Times New Roman" w:cs="Times New Roman"/>
      <w:szCs w:val="24"/>
      <w:lang w:eastAsia="ru-RU"/>
    </w:rPr>
  </w:style>
  <w:style w:type="character" w:customStyle="1" w:styleId="22">
    <w:name w:val="Основной текст 2 Знак"/>
    <w:basedOn w:val="a1"/>
    <w:link w:val="21"/>
    <w:rsid w:val="003F39BC"/>
    <w:rPr>
      <w:rFonts w:ascii="Times New Roman" w:eastAsia="Times New Roman" w:hAnsi="Times New Roman" w:cs="Times New Roman"/>
      <w:szCs w:val="24"/>
      <w:lang w:eastAsia="ru-RU"/>
    </w:rPr>
  </w:style>
  <w:style w:type="paragraph" w:styleId="a4">
    <w:name w:val="Balloon Text"/>
    <w:basedOn w:val="a0"/>
    <w:link w:val="a5"/>
    <w:uiPriority w:val="99"/>
    <w:semiHidden/>
    <w:rsid w:val="003F39BC"/>
    <w:pPr>
      <w:spacing w:after="0" w:line="240" w:lineRule="auto"/>
    </w:pPr>
    <w:rPr>
      <w:rFonts w:ascii="Tahoma" w:eastAsia="Times New Roman" w:hAnsi="Tahoma" w:cs="Tahoma"/>
      <w:sz w:val="16"/>
      <w:szCs w:val="16"/>
      <w:lang w:eastAsia="ru-RU"/>
    </w:rPr>
  </w:style>
  <w:style w:type="character" w:customStyle="1" w:styleId="a5">
    <w:name w:val="Текст выноски Знак"/>
    <w:basedOn w:val="a1"/>
    <w:link w:val="a4"/>
    <w:uiPriority w:val="99"/>
    <w:semiHidden/>
    <w:rsid w:val="003F39BC"/>
    <w:rPr>
      <w:rFonts w:ascii="Tahoma" w:eastAsia="Times New Roman" w:hAnsi="Tahoma" w:cs="Tahoma"/>
      <w:sz w:val="16"/>
      <w:szCs w:val="16"/>
      <w:lang w:eastAsia="ru-RU"/>
    </w:rPr>
  </w:style>
  <w:style w:type="paragraph" w:styleId="a6">
    <w:name w:val="Body Text Indent"/>
    <w:basedOn w:val="a0"/>
    <w:link w:val="a7"/>
    <w:rsid w:val="003F39BC"/>
    <w:pPr>
      <w:spacing w:after="120" w:line="240" w:lineRule="auto"/>
      <w:ind w:left="283"/>
    </w:pPr>
    <w:rPr>
      <w:rFonts w:ascii="Times New Roman" w:eastAsia="Times New Roman" w:hAnsi="Times New Roman" w:cs="Times New Roman"/>
      <w:sz w:val="24"/>
      <w:szCs w:val="24"/>
      <w:lang w:eastAsia="ru-RU"/>
    </w:rPr>
  </w:style>
  <w:style w:type="character" w:customStyle="1" w:styleId="a7">
    <w:name w:val="Основной текст с отступом Знак"/>
    <w:basedOn w:val="a1"/>
    <w:link w:val="a6"/>
    <w:rsid w:val="003F39BC"/>
    <w:rPr>
      <w:rFonts w:ascii="Times New Roman" w:eastAsia="Times New Roman" w:hAnsi="Times New Roman" w:cs="Times New Roman"/>
      <w:sz w:val="24"/>
      <w:szCs w:val="24"/>
      <w:lang w:eastAsia="ru-RU"/>
    </w:rPr>
  </w:style>
  <w:style w:type="paragraph" w:styleId="a8">
    <w:name w:val="Body Text"/>
    <w:aliases w:val="bt"/>
    <w:basedOn w:val="a0"/>
    <w:link w:val="a9"/>
    <w:rsid w:val="003F39BC"/>
    <w:pPr>
      <w:spacing w:after="120" w:line="240" w:lineRule="auto"/>
    </w:pPr>
    <w:rPr>
      <w:rFonts w:ascii="Times New Roman" w:eastAsia="Times New Roman" w:hAnsi="Times New Roman" w:cs="Times New Roman"/>
      <w:sz w:val="24"/>
      <w:szCs w:val="24"/>
      <w:lang w:eastAsia="ru-RU"/>
    </w:rPr>
  </w:style>
  <w:style w:type="character" w:customStyle="1" w:styleId="a9">
    <w:name w:val="Основной текст Знак"/>
    <w:aliases w:val="bt Знак"/>
    <w:basedOn w:val="a1"/>
    <w:link w:val="a8"/>
    <w:rsid w:val="003F39BC"/>
    <w:rPr>
      <w:rFonts w:ascii="Times New Roman" w:eastAsia="Times New Roman" w:hAnsi="Times New Roman" w:cs="Times New Roman"/>
      <w:sz w:val="24"/>
      <w:szCs w:val="24"/>
      <w:lang w:eastAsia="ru-RU"/>
    </w:rPr>
  </w:style>
  <w:style w:type="paragraph" w:styleId="aa">
    <w:name w:val="header"/>
    <w:aliases w:val="hd"/>
    <w:basedOn w:val="a0"/>
    <w:link w:val="ab"/>
    <w:uiPriority w:val="99"/>
    <w:rsid w:val="003F39B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b">
    <w:name w:val="Верхний колонтитул Знак"/>
    <w:aliases w:val="hd Знак"/>
    <w:basedOn w:val="a1"/>
    <w:link w:val="aa"/>
    <w:uiPriority w:val="99"/>
    <w:rsid w:val="003F39BC"/>
    <w:rPr>
      <w:rFonts w:ascii="Times New Roman" w:eastAsia="Times New Roman" w:hAnsi="Times New Roman" w:cs="Times New Roman"/>
      <w:sz w:val="24"/>
      <w:szCs w:val="24"/>
      <w:lang w:eastAsia="ru-RU"/>
    </w:rPr>
  </w:style>
  <w:style w:type="paragraph" w:styleId="ac">
    <w:name w:val="footer"/>
    <w:basedOn w:val="a0"/>
    <w:link w:val="ad"/>
    <w:uiPriority w:val="99"/>
    <w:rsid w:val="003F39B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d">
    <w:name w:val="Нижний колонтитул Знак"/>
    <w:basedOn w:val="a1"/>
    <w:link w:val="ac"/>
    <w:uiPriority w:val="99"/>
    <w:rsid w:val="003F39BC"/>
    <w:rPr>
      <w:rFonts w:ascii="Times New Roman" w:eastAsia="Times New Roman" w:hAnsi="Times New Roman" w:cs="Times New Roman"/>
      <w:sz w:val="24"/>
      <w:szCs w:val="24"/>
      <w:lang w:eastAsia="ru-RU"/>
    </w:rPr>
  </w:style>
  <w:style w:type="character" w:styleId="ae">
    <w:name w:val="annotation reference"/>
    <w:basedOn w:val="a1"/>
    <w:uiPriority w:val="99"/>
    <w:rsid w:val="003F39BC"/>
    <w:rPr>
      <w:sz w:val="16"/>
      <w:szCs w:val="16"/>
    </w:rPr>
  </w:style>
  <w:style w:type="paragraph" w:styleId="af">
    <w:name w:val="annotation text"/>
    <w:basedOn w:val="a0"/>
    <w:link w:val="af0"/>
    <w:uiPriority w:val="99"/>
    <w:rsid w:val="003F39BC"/>
    <w:pPr>
      <w:spacing w:after="0" w:line="240" w:lineRule="auto"/>
    </w:pPr>
    <w:rPr>
      <w:rFonts w:ascii="Times New Roman" w:eastAsia="Times New Roman" w:hAnsi="Times New Roman" w:cs="Times New Roman"/>
      <w:sz w:val="20"/>
      <w:szCs w:val="20"/>
      <w:lang w:eastAsia="ru-RU"/>
    </w:rPr>
  </w:style>
  <w:style w:type="character" w:customStyle="1" w:styleId="af0">
    <w:name w:val="Текст примечания Знак"/>
    <w:basedOn w:val="a1"/>
    <w:link w:val="af"/>
    <w:uiPriority w:val="99"/>
    <w:rsid w:val="003F39BC"/>
    <w:rPr>
      <w:rFonts w:ascii="Times New Roman" w:eastAsia="Times New Roman" w:hAnsi="Times New Roman" w:cs="Times New Roman"/>
      <w:sz w:val="20"/>
      <w:szCs w:val="20"/>
      <w:lang w:eastAsia="ru-RU"/>
    </w:rPr>
  </w:style>
  <w:style w:type="paragraph" w:styleId="af1">
    <w:name w:val="annotation subject"/>
    <w:basedOn w:val="af"/>
    <w:next w:val="af"/>
    <w:link w:val="af2"/>
    <w:uiPriority w:val="99"/>
    <w:rsid w:val="003F39BC"/>
    <w:rPr>
      <w:b/>
      <w:bCs/>
    </w:rPr>
  </w:style>
  <w:style w:type="character" w:customStyle="1" w:styleId="af2">
    <w:name w:val="Тема примечания Знак"/>
    <w:basedOn w:val="af0"/>
    <w:link w:val="af1"/>
    <w:uiPriority w:val="99"/>
    <w:rsid w:val="003F39BC"/>
    <w:rPr>
      <w:rFonts w:ascii="Times New Roman" w:eastAsia="Times New Roman" w:hAnsi="Times New Roman" w:cs="Times New Roman"/>
      <w:b/>
      <w:bCs/>
      <w:sz w:val="20"/>
      <w:szCs w:val="20"/>
      <w:lang w:eastAsia="ru-RU"/>
    </w:rPr>
  </w:style>
  <w:style w:type="table" w:styleId="af3">
    <w:name w:val="Table Grid"/>
    <w:basedOn w:val="a2"/>
    <w:uiPriority w:val="39"/>
    <w:rsid w:val="003F39B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Hyperlink"/>
    <w:basedOn w:val="a1"/>
    <w:uiPriority w:val="99"/>
    <w:rsid w:val="003F39BC"/>
    <w:rPr>
      <w:color w:val="0563C1" w:themeColor="hyperlink"/>
      <w:u w:val="single"/>
    </w:rPr>
  </w:style>
  <w:style w:type="paragraph" w:customStyle="1" w:styleId="210">
    <w:name w:val="Основной текст 21"/>
    <w:basedOn w:val="a0"/>
    <w:rsid w:val="003F39BC"/>
    <w:pPr>
      <w:suppressAutoHyphens/>
      <w:spacing w:after="120" w:line="480" w:lineRule="auto"/>
    </w:pPr>
    <w:rPr>
      <w:rFonts w:ascii="Times New Roman" w:eastAsia="Times New Roman" w:hAnsi="Times New Roman" w:cs="Times New Roman"/>
      <w:sz w:val="24"/>
      <w:szCs w:val="24"/>
      <w:lang w:eastAsia="ar-SA"/>
    </w:rPr>
  </w:style>
  <w:style w:type="character" w:customStyle="1" w:styleId="WW8Num3z0">
    <w:name w:val="WW8Num3z0"/>
    <w:rsid w:val="003F39BC"/>
    <w:rPr>
      <w:b/>
    </w:rPr>
  </w:style>
  <w:style w:type="character" w:customStyle="1" w:styleId="WW8Num4z0">
    <w:name w:val="WW8Num4z0"/>
    <w:rsid w:val="003F39BC"/>
    <w:rPr>
      <w:rFonts w:ascii="Symbol" w:hAnsi="Symbol"/>
    </w:rPr>
  </w:style>
  <w:style w:type="character" w:customStyle="1" w:styleId="11">
    <w:name w:val="Знак Знак1"/>
    <w:rsid w:val="003F39BC"/>
    <w:rPr>
      <w:sz w:val="28"/>
      <w:szCs w:val="24"/>
      <w:lang w:val="ru-RU" w:eastAsia="ru-RU" w:bidi="ar-SA"/>
    </w:rPr>
  </w:style>
  <w:style w:type="paragraph" w:styleId="23">
    <w:name w:val="Body Text Indent 2"/>
    <w:basedOn w:val="a0"/>
    <w:link w:val="24"/>
    <w:rsid w:val="003F39BC"/>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1"/>
    <w:link w:val="23"/>
    <w:rsid w:val="003F39BC"/>
    <w:rPr>
      <w:rFonts w:ascii="Times New Roman" w:eastAsia="Times New Roman" w:hAnsi="Times New Roman" w:cs="Times New Roman"/>
      <w:sz w:val="24"/>
      <w:szCs w:val="24"/>
      <w:lang w:eastAsia="ru-RU"/>
    </w:rPr>
  </w:style>
  <w:style w:type="paragraph" w:styleId="af5">
    <w:name w:val="footnote text"/>
    <w:aliases w:val="Table_Footnote_last,Текст сноски Знак Знак Знак,Текст сноски Знак1,Текст сноски Знак Знак,Текст сноски Знак Знак Знак Знак,Текст сноски Знак Знак1,Текст сноски Знак2,Текст сноски Знак Знак1 Знак,Footnote Text Char3,Footnote Text Char Знак,f"/>
    <w:basedOn w:val="a0"/>
    <w:link w:val="af6"/>
    <w:uiPriority w:val="99"/>
    <w:qFormat/>
    <w:rsid w:val="003F39BC"/>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f6">
    <w:name w:val="Текст сноски Знак"/>
    <w:aliases w:val="Table_Footnote_last Знак,Текст сноски Знак Знак Знак Знак1,Текст сноски Знак1 Знак,Текст сноски Знак Знак Знак1,Текст сноски Знак Знак Знак Знак Знак,Текст сноски Знак Знак1 Знак1,Текст сноски Знак2 Знак,Footnote Text Char3 Знак,f Знак"/>
    <w:basedOn w:val="a1"/>
    <w:link w:val="af5"/>
    <w:uiPriority w:val="99"/>
    <w:rsid w:val="003F39BC"/>
    <w:rPr>
      <w:rFonts w:ascii="Times New Roman" w:eastAsia="Times New Roman" w:hAnsi="Times New Roman" w:cs="Times New Roman"/>
      <w:sz w:val="20"/>
      <w:szCs w:val="20"/>
      <w:lang w:eastAsia="ru-RU"/>
    </w:rPr>
  </w:style>
  <w:style w:type="character" w:customStyle="1" w:styleId="41">
    <w:name w:val="Знак Знак4"/>
    <w:rsid w:val="003F39BC"/>
    <w:rPr>
      <w:lang w:val="ru-RU" w:eastAsia="ru-RU" w:bidi="ar-SA"/>
    </w:rPr>
  </w:style>
  <w:style w:type="character" w:styleId="af7">
    <w:name w:val="footnote reference"/>
    <w:aliases w:val="Знак сноски-FN,Ciae niinee-FN,Знак сноски 1,fr,Used by Word for Help footnote symbols,Ссылка на сноску 45,Footnote Reference Number,текст сноски,16 Point,Superscript 6 Point,Referencia nota al pie,Ciae niinee 1,Odwołanie przypisu,SUPERS"/>
    <w:uiPriority w:val="99"/>
    <w:qFormat/>
    <w:rsid w:val="003F39BC"/>
    <w:rPr>
      <w:vertAlign w:val="superscript"/>
    </w:rPr>
  </w:style>
  <w:style w:type="paragraph" w:styleId="31">
    <w:name w:val="Body Text Indent 3"/>
    <w:basedOn w:val="a0"/>
    <w:link w:val="32"/>
    <w:rsid w:val="003F39BC"/>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rsid w:val="003F39BC"/>
    <w:rPr>
      <w:rFonts w:ascii="Times New Roman" w:eastAsia="Times New Roman" w:hAnsi="Times New Roman" w:cs="Times New Roman"/>
      <w:sz w:val="16"/>
      <w:szCs w:val="16"/>
      <w:lang w:eastAsia="ru-RU"/>
    </w:rPr>
  </w:style>
  <w:style w:type="paragraph" w:customStyle="1" w:styleId="ConsPlusNormal">
    <w:name w:val="ConsPlusNormal"/>
    <w:rsid w:val="003F39BC"/>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UBST">
    <w:name w:val="__SUBST"/>
    <w:rsid w:val="003F39BC"/>
    <w:rPr>
      <w:b/>
      <w:bCs/>
      <w:i/>
      <w:iCs/>
      <w:sz w:val="22"/>
      <w:szCs w:val="22"/>
    </w:rPr>
  </w:style>
  <w:style w:type="character" w:customStyle="1" w:styleId="51">
    <w:name w:val="Знак Знак5"/>
    <w:semiHidden/>
    <w:rsid w:val="003F39BC"/>
    <w:rPr>
      <w:lang w:val="ru-RU" w:eastAsia="ru-RU" w:bidi="ar-SA"/>
    </w:rPr>
  </w:style>
  <w:style w:type="paragraph" w:styleId="af8">
    <w:name w:val="List Paragraph"/>
    <w:aliases w:val="Нумерованый список,List Paragraph1,AC List 01,List Paragraph,Абзац списка1,ПАРАГРАФ,Абзац списка2,Маркер,Ненумерованный список,head 5,Subtle Emphasis,Буллет,Bullet_IRAO,Слабое выделение1,3_Абзац списка,Нумерованный спиков,Title,Нум 2 ур"/>
    <w:basedOn w:val="a0"/>
    <w:link w:val="af9"/>
    <w:uiPriority w:val="34"/>
    <w:qFormat/>
    <w:rsid w:val="003F39BC"/>
    <w:pPr>
      <w:spacing w:after="0" w:line="240" w:lineRule="auto"/>
      <w:ind w:left="720"/>
    </w:pPr>
    <w:rPr>
      <w:rFonts w:ascii="Calibri" w:eastAsia="Calibri" w:hAnsi="Calibri" w:cs="Calibri"/>
    </w:rPr>
  </w:style>
  <w:style w:type="character" w:customStyle="1" w:styleId="33">
    <w:name w:val="Знак Знак3"/>
    <w:rsid w:val="003F39BC"/>
    <w:rPr>
      <w:sz w:val="24"/>
      <w:szCs w:val="24"/>
      <w:lang w:val="ru-RU" w:eastAsia="ru-RU" w:bidi="ar-SA"/>
    </w:rPr>
  </w:style>
  <w:style w:type="character" w:customStyle="1" w:styleId="25">
    <w:name w:val="Знак Знак2"/>
    <w:rsid w:val="003F39BC"/>
    <w:rPr>
      <w:sz w:val="24"/>
      <w:szCs w:val="24"/>
      <w:lang w:val="ru-RU" w:eastAsia="ru-RU" w:bidi="ar-SA"/>
    </w:rPr>
  </w:style>
  <w:style w:type="character" w:styleId="afa">
    <w:name w:val="page number"/>
    <w:rsid w:val="003F39BC"/>
  </w:style>
  <w:style w:type="character" w:customStyle="1" w:styleId="afb">
    <w:name w:val="Знак Знак"/>
    <w:rsid w:val="003F39BC"/>
    <w:rPr>
      <w:b/>
      <w:bCs/>
      <w:lang w:val="ru-RU" w:eastAsia="ru-RU" w:bidi="ar-SA"/>
    </w:rPr>
  </w:style>
  <w:style w:type="paragraph" w:customStyle="1" w:styleId="FR4">
    <w:name w:val="FR4"/>
    <w:rsid w:val="003F39BC"/>
    <w:pPr>
      <w:widowControl w:val="0"/>
      <w:spacing w:before="160" w:after="0" w:line="240" w:lineRule="auto"/>
      <w:ind w:left="80" w:firstLine="380"/>
    </w:pPr>
    <w:rPr>
      <w:rFonts w:ascii="Times New Roman" w:eastAsia="Times New Roman" w:hAnsi="Times New Roman" w:cs="Times New Roman"/>
      <w:sz w:val="16"/>
      <w:szCs w:val="20"/>
      <w:lang w:eastAsia="ru-RU"/>
    </w:rPr>
  </w:style>
  <w:style w:type="paragraph" w:styleId="afc">
    <w:name w:val="Block Text"/>
    <w:basedOn w:val="a0"/>
    <w:rsid w:val="003F39BC"/>
    <w:pPr>
      <w:spacing w:after="0" w:line="240" w:lineRule="auto"/>
      <w:ind w:left="113" w:right="113"/>
      <w:jc w:val="center"/>
    </w:pPr>
    <w:rPr>
      <w:rFonts w:ascii="Arial" w:eastAsia="Times New Roman" w:hAnsi="Arial" w:cs="Arial"/>
      <w:sz w:val="16"/>
      <w:szCs w:val="20"/>
      <w:lang w:eastAsia="ru-RU"/>
    </w:rPr>
  </w:style>
  <w:style w:type="paragraph" w:customStyle="1" w:styleId="ConsTitle">
    <w:name w:val="ConsTitle"/>
    <w:rsid w:val="003F39BC"/>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8Num5z0">
    <w:name w:val="WW8Num5z0"/>
    <w:rsid w:val="003F39BC"/>
    <w:rPr>
      <w:rFonts w:ascii="Symbol" w:hAnsi="Symbol"/>
    </w:rPr>
  </w:style>
  <w:style w:type="character" w:customStyle="1" w:styleId="WW8Num6z0">
    <w:name w:val="WW8Num6z0"/>
    <w:rsid w:val="003F39BC"/>
    <w:rPr>
      <w:rFonts w:ascii="Symbol" w:hAnsi="Symbol"/>
    </w:rPr>
  </w:style>
  <w:style w:type="character" w:customStyle="1" w:styleId="WW8Num7z0">
    <w:name w:val="WW8Num7z0"/>
    <w:rsid w:val="003F39BC"/>
    <w:rPr>
      <w:rFonts w:ascii="Symbol" w:hAnsi="Symbol"/>
    </w:rPr>
  </w:style>
  <w:style w:type="character" w:customStyle="1" w:styleId="WW8Num8z0">
    <w:name w:val="WW8Num8z0"/>
    <w:rsid w:val="003F39BC"/>
    <w:rPr>
      <w:rFonts w:ascii="Symbol" w:hAnsi="Symbol"/>
      <w:color w:val="auto"/>
      <w:sz w:val="24"/>
    </w:rPr>
  </w:style>
  <w:style w:type="character" w:customStyle="1" w:styleId="WW8Num9z0">
    <w:name w:val="WW8Num9z0"/>
    <w:rsid w:val="003F39BC"/>
    <w:rPr>
      <w:b w:val="0"/>
      <w:i w:val="0"/>
      <w:sz w:val="22"/>
    </w:rPr>
  </w:style>
  <w:style w:type="character" w:customStyle="1" w:styleId="WW8Num10z0">
    <w:name w:val="WW8Num10z0"/>
    <w:rsid w:val="003F39BC"/>
    <w:rPr>
      <w:b/>
    </w:rPr>
  </w:style>
  <w:style w:type="character" w:customStyle="1" w:styleId="WW8Num11z0">
    <w:name w:val="WW8Num11z0"/>
    <w:rsid w:val="003F39BC"/>
    <w:rPr>
      <w:b/>
    </w:rPr>
  </w:style>
  <w:style w:type="character" w:customStyle="1" w:styleId="WW8Num12z0">
    <w:name w:val="WW8Num12z0"/>
    <w:rsid w:val="003F39BC"/>
    <w:rPr>
      <w:rFonts w:ascii="Symbol" w:hAnsi="Symbol"/>
      <w:color w:val="auto"/>
    </w:rPr>
  </w:style>
  <w:style w:type="character" w:customStyle="1" w:styleId="WW8Num13z0">
    <w:name w:val="WW8Num13z0"/>
    <w:rsid w:val="003F39BC"/>
    <w:rPr>
      <w:rFonts w:ascii="Symbol" w:hAnsi="Symbol"/>
      <w:color w:val="auto"/>
      <w:sz w:val="24"/>
    </w:rPr>
  </w:style>
  <w:style w:type="character" w:customStyle="1" w:styleId="WW8Num15z0">
    <w:name w:val="WW8Num15z0"/>
    <w:rsid w:val="003F39BC"/>
    <w:rPr>
      <w:rFonts w:ascii="Symbol" w:hAnsi="Symbol"/>
      <w:color w:val="auto"/>
      <w:sz w:val="24"/>
    </w:rPr>
  </w:style>
  <w:style w:type="character" w:customStyle="1" w:styleId="WW8Num16z0">
    <w:name w:val="WW8Num16z0"/>
    <w:rsid w:val="003F39BC"/>
    <w:rPr>
      <w:rFonts w:ascii="Symbol" w:hAnsi="Symbol"/>
    </w:rPr>
  </w:style>
  <w:style w:type="character" w:customStyle="1" w:styleId="WW8Num18z0">
    <w:name w:val="WW8Num18z0"/>
    <w:rsid w:val="003F39BC"/>
    <w:rPr>
      <w:rFonts w:ascii="Symbol" w:hAnsi="Symbol"/>
    </w:rPr>
  </w:style>
  <w:style w:type="character" w:customStyle="1" w:styleId="WW8Num19z0">
    <w:name w:val="WW8Num19z0"/>
    <w:rsid w:val="003F39BC"/>
    <w:rPr>
      <w:rFonts w:ascii="Symbol" w:hAnsi="Symbol"/>
    </w:rPr>
  </w:style>
  <w:style w:type="character" w:customStyle="1" w:styleId="WW8Num20z0">
    <w:name w:val="WW8Num20z0"/>
    <w:rsid w:val="003F39BC"/>
    <w:rPr>
      <w:rFonts w:ascii="Symbol" w:hAnsi="Symbol"/>
      <w:color w:val="auto"/>
      <w:sz w:val="24"/>
    </w:rPr>
  </w:style>
  <w:style w:type="character" w:customStyle="1" w:styleId="WW8Num20z2">
    <w:name w:val="WW8Num20z2"/>
    <w:rsid w:val="003F39BC"/>
    <w:rPr>
      <w:rFonts w:ascii="Wingdings" w:hAnsi="Wingdings"/>
    </w:rPr>
  </w:style>
  <w:style w:type="character" w:customStyle="1" w:styleId="WW8Num20z3">
    <w:name w:val="WW8Num20z3"/>
    <w:rsid w:val="003F39BC"/>
    <w:rPr>
      <w:rFonts w:ascii="Symbol" w:hAnsi="Symbol"/>
    </w:rPr>
  </w:style>
  <w:style w:type="character" w:customStyle="1" w:styleId="WW8Num20z4">
    <w:name w:val="WW8Num20z4"/>
    <w:rsid w:val="003F39BC"/>
    <w:rPr>
      <w:rFonts w:ascii="Courier New" w:hAnsi="Courier New"/>
    </w:rPr>
  </w:style>
  <w:style w:type="character" w:customStyle="1" w:styleId="WW8Num21z0">
    <w:name w:val="WW8Num21z0"/>
    <w:rsid w:val="003F39BC"/>
    <w:rPr>
      <w:rFonts w:ascii="Symbol" w:hAnsi="Symbol"/>
      <w:color w:val="auto"/>
      <w:sz w:val="24"/>
    </w:rPr>
  </w:style>
  <w:style w:type="character" w:customStyle="1" w:styleId="WW8Num22z0">
    <w:name w:val="WW8Num22z0"/>
    <w:rsid w:val="003F39BC"/>
    <w:rPr>
      <w:rFonts w:ascii="Symbol" w:hAnsi="Symbol"/>
    </w:rPr>
  </w:style>
  <w:style w:type="character" w:customStyle="1" w:styleId="WW8Num23z0">
    <w:name w:val="WW8Num23z0"/>
    <w:rsid w:val="003F39BC"/>
    <w:rPr>
      <w:b w:val="0"/>
      <w:i w:val="0"/>
      <w:sz w:val="22"/>
    </w:rPr>
  </w:style>
  <w:style w:type="character" w:customStyle="1" w:styleId="WW8Num24z0">
    <w:name w:val="WW8Num24z0"/>
    <w:rsid w:val="003F39BC"/>
    <w:rPr>
      <w:b/>
    </w:rPr>
  </w:style>
  <w:style w:type="character" w:customStyle="1" w:styleId="WW8Num26z0">
    <w:name w:val="WW8Num26z0"/>
    <w:rsid w:val="003F39BC"/>
    <w:rPr>
      <w:rFonts w:ascii="Symbol" w:hAnsi="Symbol"/>
    </w:rPr>
  </w:style>
  <w:style w:type="character" w:customStyle="1" w:styleId="WW8Num28z0">
    <w:name w:val="WW8Num28z0"/>
    <w:rsid w:val="003F39BC"/>
    <w:rPr>
      <w:rFonts w:ascii="Symbol" w:hAnsi="Symbol"/>
    </w:rPr>
  </w:style>
  <w:style w:type="character" w:customStyle="1" w:styleId="WW8Num30z0">
    <w:name w:val="WW8Num30z0"/>
    <w:rsid w:val="003F39BC"/>
    <w:rPr>
      <w:b/>
    </w:rPr>
  </w:style>
  <w:style w:type="character" w:customStyle="1" w:styleId="WW8Num31z0">
    <w:name w:val="WW8Num31z0"/>
    <w:rsid w:val="003F39BC"/>
    <w:rPr>
      <w:rFonts w:ascii="Symbol" w:hAnsi="Symbol"/>
      <w:color w:val="auto"/>
      <w:sz w:val="24"/>
    </w:rPr>
  </w:style>
  <w:style w:type="character" w:customStyle="1" w:styleId="WW8Num32z0">
    <w:name w:val="WW8Num32z0"/>
    <w:rsid w:val="003F39BC"/>
    <w:rPr>
      <w:rFonts w:ascii="Symbol" w:hAnsi="Symbol"/>
      <w:color w:val="auto"/>
      <w:sz w:val="24"/>
    </w:rPr>
  </w:style>
  <w:style w:type="character" w:customStyle="1" w:styleId="WW8Num34z0">
    <w:name w:val="WW8Num34z0"/>
    <w:rsid w:val="003F39BC"/>
    <w:rPr>
      <w:rFonts w:ascii="Wingdings" w:hAnsi="Wingdings"/>
    </w:rPr>
  </w:style>
  <w:style w:type="character" w:customStyle="1" w:styleId="WW8Num35z0">
    <w:name w:val="WW8Num35z0"/>
    <w:rsid w:val="003F39BC"/>
    <w:rPr>
      <w:rFonts w:ascii="Wingdings" w:hAnsi="Wingdings"/>
    </w:rPr>
  </w:style>
  <w:style w:type="character" w:customStyle="1" w:styleId="WW8Num37z0">
    <w:name w:val="WW8Num37z0"/>
    <w:rsid w:val="003F39BC"/>
    <w:rPr>
      <w:rFonts w:ascii="Symbol" w:hAnsi="Symbol"/>
    </w:rPr>
  </w:style>
  <w:style w:type="character" w:customStyle="1" w:styleId="WW8Num38z0">
    <w:name w:val="WW8Num38z0"/>
    <w:rsid w:val="003F39BC"/>
    <w:rPr>
      <w:rFonts w:ascii="Symbol" w:hAnsi="Symbol"/>
    </w:rPr>
  </w:style>
  <w:style w:type="character" w:customStyle="1" w:styleId="WW8Num38z2">
    <w:name w:val="WW8Num38z2"/>
    <w:rsid w:val="003F39BC"/>
    <w:rPr>
      <w:rFonts w:ascii="Wingdings" w:hAnsi="Wingdings"/>
    </w:rPr>
  </w:style>
  <w:style w:type="character" w:customStyle="1" w:styleId="WW8Num38z4">
    <w:name w:val="WW8Num38z4"/>
    <w:rsid w:val="003F39BC"/>
    <w:rPr>
      <w:rFonts w:ascii="Courier New" w:hAnsi="Courier New" w:cs="Courier New"/>
    </w:rPr>
  </w:style>
  <w:style w:type="character" w:customStyle="1" w:styleId="Absatz-Standardschriftart">
    <w:name w:val="Absatz-Standardschriftart"/>
    <w:rsid w:val="003F39BC"/>
  </w:style>
  <w:style w:type="character" w:customStyle="1" w:styleId="WW-Absatz-Standardschriftart">
    <w:name w:val="WW-Absatz-Standardschriftart"/>
    <w:rsid w:val="003F39BC"/>
  </w:style>
  <w:style w:type="character" w:customStyle="1" w:styleId="WW8Num25z0">
    <w:name w:val="WW8Num25z0"/>
    <w:rsid w:val="003F39BC"/>
    <w:rPr>
      <w:rFonts w:ascii="Symbol" w:hAnsi="Symbol"/>
    </w:rPr>
  </w:style>
  <w:style w:type="character" w:customStyle="1" w:styleId="WW8Num27z0">
    <w:name w:val="WW8Num27z0"/>
    <w:rsid w:val="003F39BC"/>
    <w:rPr>
      <w:rFonts w:ascii="Symbol" w:hAnsi="Symbol"/>
      <w:color w:val="auto"/>
      <w:sz w:val="24"/>
    </w:rPr>
  </w:style>
  <w:style w:type="character" w:customStyle="1" w:styleId="WW8Num29z0">
    <w:name w:val="WW8Num29z0"/>
    <w:rsid w:val="003F39BC"/>
    <w:rPr>
      <w:b w:val="0"/>
      <w:i w:val="0"/>
      <w:sz w:val="22"/>
    </w:rPr>
  </w:style>
  <w:style w:type="character" w:customStyle="1" w:styleId="WW8Num33z0">
    <w:name w:val="WW8Num33z0"/>
    <w:rsid w:val="003F39BC"/>
    <w:rPr>
      <w:rFonts w:ascii="Arial" w:hAnsi="Arial" w:cs="Arial"/>
    </w:rPr>
  </w:style>
  <w:style w:type="character" w:customStyle="1" w:styleId="WW8Num36z0">
    <w:name w:val="WW8Num36z0"/>
    <w:rsid w:val="003F39BC"/>
    <w:rPr>
      <w:rFonts w:ascii="Times New Roman" w:eastAsia="Times New Roman" w:hAnsi="Times New Roman"/>
    </w:rPr>
  </w:style>
  <w:style w:type="character" w:customStyle="1" w:styleId="WW8Num39z0">
    <w:name w:val="WW8Num39z0"/>
    <w:rsid w:val="003F39BC"/>
    <w:rPr>
      <w:rFonts w:ascii="Symbol" w:hAnsi="Symbol"/>
      <w:color w:val="auto"/>
      <w:sz w:val="24"/>
    </w:rPr>
  </w:style>
  <w:style w:type="character" w:customStyle="1" w:styleId="WW8Num40z0">
    <w:name w:val="WW8Num40z0"/>
    <w:rsid w:val="003F39BC"/>
    <w:rPr>
      <w:b/>
    </w:rPr>
  </w:style>
  <w:style w:type="character" w:customStyle="1" w:styleId="WW8Num40z2">
    <w:name w:val="WW8Num40z2"/>
    <w:rsid w:val="003F39BC"/>
    <w:rPr>
      <w:rFonts w:ascii="Wingdings" w:hAnsi="Wingdings"/>
    </w:rPr>
  </w:style>
  <w:style w:type="character" w:customStyle="1" w:styleId="WW8Num40z4">
    <w:name w:val="WW8Num40z4"/>
    <w:rsid w:val="003F39BC"/>
    <w:rPr>
      <w:rFonts w:ascii="Courier New" w:hAnsi="Courier New" w:cs="Courier New"/>
    </w:rPr>
  </w:style>
  <w:style w:type="character" w:customStyle="1" w:styleId="WW-Absatz-Standardschriftart1">
    <w:name w:val="WW-Absatz-Standardschriftart1"/>
    <w:rsid w:val="003F39BC"/>
  </w:style>
  <w:style w:type="character" w:customStyle="1" w:styleId="WW-Absatz-Standardschriftart11">
    <w:name w:val="WW-Absatz-Standardschriftart11"/>
    <w:rsid w:val="003F39BC"/>
  </w:style>
  <w:style w:type="character" w:customStyle="1" w:styleId="WW8Num21z2">
    <w:name w:val="WW8Num21z2"/>
    <w:rsid w:val="003F39BC"/>
    <w:rPr>
      <w:rFonts w:ascii="Wingdings" w:hAnsi="Wingdings"/>
    </w:rPr>
  </w:style>
  <w:style w:type="character" w:customStyle="1" w:styleId="WW8Num21z3">
    <w:name w:val="WW8Num21z3"/>
    <w:rsid w:val="003F39BC"/>
    <w:rPr>
      <w:rFonts w:ascii="Symbol" w:hAnsi="Symbol"/>
    </w:rPr>
  </w:style>
  <w:style w:type="character" w:customStyle="1" w:styleId="WW8Num21z4">
    <w:name w:val="WW8Num21z4"/>
    <w:rsid w:val="003F39BC"/>
    <w:rPr>
      <w:rFonts w:ascii="Courier New" w:hAnsi="Courier New"/>
    </w:rPr>
  </w:style>
  <w:style w:type="character" w:customStyle="1" w:styleId="WW8Num41z0">
    <w:name w:val="WW8Num41z0"/>
    <w:rsid w:val="003F39BC"/>
    <w:rPr>
      <w:rFonts w:ascii="Symbol" w:hAnsi="Symbol"/>
    </w:rPr>
  </w:style>
  <w:style w:type="character" w:customStyle="1" w:styleId="WW8Num41z2">
    <w:name w:val="WW8Num41z2"/>
    <w:rsid w:val="003F39BC"/>
    <w:rPr>
      <w:rFonts w:ascii="Wingdings" w:hAnsi="Wingdings"/>
    </w:rPr>
  </w:style>
  <w:style w:type="character" w:customStyle="1" w:styleId="WW8Num41z3">
    <w:name w:val="WW8Num41z3"/>
    <w:rsid w:val="003F39BC"/>
    <w:rPr>
      <w:rFonts w:ascii="Symbol" w:hAnsi="Symbol"/>
    </w:rPr>
  </w:style>
  <w:style w:type="character" w:customStyle="1" w:styleId="WW8Num41z4">
    <w:name w:val="WW8Num41z4"/>
    <w:rsid w:val="003F39BC"/>
    <w:rPr>
      <w:rFonts w:ascii="Courier New" w:hAnsi="Courier New" w:cs="Courier New"/>
    </w:rPr>
  </w:style>
  <w:style w:type="character" w:customStyle="1" w:styleId="WW-Absatz-Standardschriftart111">
    <w:name w:val="WW-Absatz-Standardschriftart111"/>
    <w:rsid w:val="003F39BC"/>
  </w:style>
  <w:style w:type="character" w:customStyle="1" w:styleId="WW8Num4z1">
    <w:name w:val="WW8Num4z1"/>
    <w:rsid w:val="003F39BC"/>
    <w:rPr>
      <w:rFonts w:ascii="Courier New" w:hAnsi="Courier New" w:cs="Courier New"/>
    </w:rPr>
  </w:style>
  <w:style w:type="character" w:customStyle="1" w:styleId="WW8Num4z2">
    <w:name w:val="WW8Num4z2"/>
    <w:rsid w:val="003F39BC"/>
    <w:rPr>
      <w:rFonts w:ascii="Wingdings" w:hAnsi="Wingdings"/>
    </w:rPr>
  </w:style>
  <w:style w:type="character" w:customStyle="1" w:styleId="WW8Num5z1">
    <w:name w:val="WW8Num5z1"/>
    <w:rsid w:val="003F39BC"/>
    <w:rPr>
      <w:rFonts w:ascii="Courier New" w:hAnsi="Courier New" w:cs="Courier New"/>
    </w:rPr>
  </w:style>
  <w:style w:type="character" w:customStyle="1" w:styleId="WW8Num5z2">
    <w:name w:val="WW8Num5z2"/>
    <w:rsid w:val="003F39BC"/>
    <w:rPr>
      <w:rFonts w:ascii="Wingdings" w:hAnsi="Wingdings"/>
    </w:rPr>
  </w:style>
  <w:style w:type="character" w:customStyle="1" w:styleId="WW8Num6z1">
    <w:name w:val="WW8Num6z1"/>
    <w:rsid w:val="003F39BC"/>
    <w:rPr>
      <w:rFonts w:ascii="Courier New" w:hAnsi="Courier New" w:cs="Courier New"/>
    </w:rPr>
  </w:style>
  <w:style w:type="character" w:customStyle="1" w:styleId="WW8Num6z2">
    <w:name w:val="WW8Num6z2"/>
    <w:rsid w:val="003F39BC"/>
    <w:rPr>
      <w:rFonts w:ascii="Wingdings" w:hAnsi="Wingdings"/>
    </w:rPr>
  </w:style>
  <w:style w:type="character" w:customStyle="1" w:styleId="WW8Num7z1">
    <w:name w:val="WW8Num7z1"/>
    <w:rsid w:val="003F39BC"/>
    <w:rPr>
      <w:rFonts w:ascii="Courier New" w:hAnsi="Courier New" w:cs="Courier New"/>
    </w:rPr>
  </w:style>
  <w:style w:type="character" w:customStyle="1" w:styleId="WW8Num7z2">
    <w:name w:val="WW8Num7z2"/>
    <w:rsid w:val="003F39BC"/>
    <w:rPr>
      <w:rFonts w:ascii="Wingdings" w:hAnsi="Wingdings"/>
    </w:rPr>
  </w:style>
  <w:style w:type="character" w:customStyle="1" w:styleId="WW8Num8z1">
    <w:name w:val="WW8Num8z1"/>
    <w:rsid w:val="003F39BC"/>
    <w:rPr>
      <w:rFonts w:ascii="Courier New" w:hAnsi="Courier New"/>
    </w:rPr>
  </w:style>
  <w:style w:type="character" w:customStyle="1" w:styleId="WW8Num8z2">
    <w:name w:val="WW8Num8z2"/>
    <w:rsid w:val="003F39BC"/>
    <w:rPr>
      <w:rFonts w:ascii="Wingdings" w:hAnsi="Wingdings"/>
    </w:rPr>
  </w:style>
  <w:style w:type="character" w:customStyle="1" w:styleId="WW8Num8z3">
    <w:name w:val="WW8Num8z3"/>
    <w:rsid w:val="003F39BC"/>
    <w:rPr>
      <w:rFonts w:ascii="Symbol" w:hAnsi="Symbol"/>
    </w:rPr>
  </w:style>
  <w:style w:type="character" w:customStyle="1" w:styleId="WW8Num10z1">
    <w:name w:val="WW8Num10z1"/>
    <w:rsid w:val="003F39BC"/>
    <w:rPr>
      <w:rFonts w:ascii="Courier New" w:hAnsi="Courier New"/>
    </w:rPr>
  </w:style>
  <w:style w:type="character" w:customStyle="1" w:styleId="WW8Num10z2">
    <w:name w:val="WW8Num10z2"/>
    <w:rsid w:val="003F39BC"/>
    <w:rPr>
      <w:rFonts w:ascii="Wingdings" w:hAnsi="Wingdings"/>
    </w:rPr>
  </w:style>
  <w:style w:type="character" w:customStyle="1" w:styleId="WW8Num10z3">
    <w:name w:val="WW8Num10z3"/>
    <w:rsid w:val="003F39BC"/>
    <w:rPr>
      <w:rFonts w:ascii="Symbol" w:hAnsi="Symbol"/>
    </w:rPr>
  </w:style>
  <w:style w:type="character" w:customStyle="1" w:styleId="WW8Num12z2">
    <w:name w:val="WW8Num12z2"/>
    <w:rsid w:val="003F39BC"/>
    <w:rPr>
      <w:rFonts w:ascii="Wingdings" w:hAnsi="Wingdings"/>
    </w:rPr>
  </w:style>
  <w:style w:type="character" w:customStyle="1" w:styleId="WW8Num12z3">
    <w:name w:val="WW8Num12z3"/>
    <w:rsid w:val="003F39BC"/>
    <w:rPr>
      <w:rFonts w:ascii="Symbol" w:hAnsi="Symbol"/>
    </w:rPr>
  </w:style>
  <w:style w:type="character" w:customStyle="1" w:styleId="WW8Num12z4">
    <w:name w:val="WW8Num12z4"/>
    <w:rsid w:val="003F39BC"/>
    <w:rPr>
      <w:rFonts w:ascii="Courier New" w:hAnsi="Courier New" w:cs="Courier New"/>
    </w:rPr>
  </w:style>
  <w:style w:type="character" w:customStyle="1" w:styleId="WW8Num13z1">
    <w:name w:val="WW8Num13z1"/>
    <w:rsid w:val="003F39BC"/>
    <w:rPr>
      <w:rFonts w:ascii="Courier New" w:hAnsi="Courier New"/>
    </w:rPr>
  </w:style>
  <w:style w:type="character" w:customStyle="1" w:styleId="WW8Num13z2">
    <w:name w:val="WW8Num13z2"/>
    <w:rsid w:val="003F39BC"/>
    <w:rPr>
      <w:rFonts w:ascii="Wingdings" w:hAnsi="Wingdings"/>
    </w:rPr>
  </w:style>
  <w:style w:type="character" w:customStyle="1" w:styleId="WW8Num13z3">
    <w:name w:val="WW8Num13z3"/>
    <w:rsid w:val="003F39BC"/>
    <w:rPr>
      <w:rFonts w:ascii="Symbol" w:hAnsi="Symbol"/>
    </w:rPr>
  </w:style>
  <w:style w:type="character" w:customStyle="1" w:styleId="WW8Num14z0">
    <w:name w:val="WW8Num14z0"/>
    <w:rsid w:val="003F39BC"/>
    <w:rPr>
      <w:rFonts w:ascii="Symbol" w:hAnsi="Symbol"/>
      <w:color w:val="auto"/>
      <w:sz w:val="24"/>
    </w:rPr>
  </w:style>
  <w:style w:type="character" w:customStyle="1" w:styleId="WW8Num14z1">
    <w:name w:val="WW8Num14z1"/>
    <w:rsid w:val="003F39BC"/>
    <w:rPr>
      <w:rFonts w:ascii="Courier New" w:hAnsi="Courier New"/>
    </w:rPr>
  </w:style>
  <w:style w:type="character" w:customStyle="1" w:styleId="WW8Num14z2">
    <w:name w:val="WW8Num14z2"/>
    <w:rsid w:val="003F39BC"/>
    <w:rPr>
      <w:rFonts w:ascii="Wingdings" w:hAnsi="Wingdings"/>
    </w:rPr>
  </w:style>
  <w:style w:type="character" w:customStyle="1" w:styleId="WW8Num14z3">
    <w:name w:val="WW8Num14z3"/>
    <w:rsid w:val="003F39BC"/>
    <w:rPr>
      <w:rFonts w:ascii="Symbol" w:hAnsi="Symbol"/>
    </w:rPr>
  </w:style>
  <w:style w:type="character" w:customStyle="1" w:styleId="WW8Num15z1">
    <w:name w:val="WW8Num15z1"/>
    <w:rsid w:val="003F39BC"/>
    <w:rPr>
      <w:rFonts w:ascii="Courier New" w:hAnsi="Courier New"/>
    </w:rPr>
  </w:style>
  <w:style w:type="character" w:customStyle="1" w:styleId="WW8Num15z2">
    <w:name w:val="WW8Num15z2"/>
    <w:rsid w:val="003F39BC"/>
    <w:rPr>
      <w:rFonts w:ascii="Wingdings" w:hAnsi="Wingdings"/>
    </w:rPr>
  </w:style>
  <w:style w:type="character" w:customStyle="1" w:styleId="WW8Num15z3">
    <w:name w:val="WW8Num15z3"/>
    <w:rsid w:val="003F39BC"/>
    <w:rPr>
      <w:rFonts w:ascii="Symbol" w:hAnsi="Symbol"/>
    </w:rPr>
  </w:style>
  <w:style w:type="character" w:customStyle="1" w:styleId="WW8Num16z1">
    <w:name w:val="WW8Num16z1"/>
    <w:rsid w:val="003F39BC"/>
    <w:rPr>
      <w:rFonts w:ascii="Courier New" w:hAnsi="Courier New" w:cs="Courier New"/>
    </w:rPr>
  </w:style>
  <w:style w:type="character" w:customStyle="1" w:styleId="WW8Num16z2">
    <w:name w:val="WW8Num16z2"/>
    <w:rsid w:val="003F39BC"/>
    <w:rPr>
      <w:rFonts w:ascii="Wingdings" w:hAnsi="Wingdings"/>
    </w:rPr>
  </w:style>
  <w:style w:type="character" w:customStyle="1" w:styleId="WW8Num17z0">
    <w:name w:val="WW8Num17z0"/>
    <w:rsid w:val="003F39BC"/>
    <w:rPr>
      <w:b/>
    </w:rPr>
  </w:style>
  <w:style w:type="character" w:customStyle="1" w:styleId="WW8Num18z1">
    <w:name w:val="WW8Num18z1"/>
    <w:rsid w:val="003F39BC"/>
    <w:rPr>
      <w:rFonts w:ascii="Courier New" w:hAnsi="Courier New" w:cs="Courier New"/>
    </w:rPr>
  </w:style>
  <w:style w:type="character" w:customStyle="1" w:styleId="WW8Num18z2">
    <w:name w:val="WW8Num18z2"/>
    <w:rsid w:val="003F39BC"/>
    <w:rPr>
      <w:rFonts w:ascii="Wingdings" w:hAnsi="Wingdings"/>
    </w:rPr>
  </w:style>
  <w:style w:type="character" w:customStyle="1" w:styleId="WW8Num19z1">
    <w:name w:val="WW8Num19z1"/>
    <w:rsid w:val="003F39BC"/>
    <w:rPr>
      <w:rFonts w:ascii="Courier New" w:hAnsi="Courier New" w:cs="Courier New"/>
    </w:rPr>
  </w:style>
  <w:style w:type="character" w:customStyle="1" w:styleId="WW8Num19z2">
    <w:name w:val="WW8Num19z2"/>
    <w:rsid w:val="003F39BC"/>
    <w:rPr>
      <w:rFonts w:ascii="Wingdings" w:hAnsi="Wingdings"/>
    </w:rPr>
  </w:style>
  <w:style w:type="character" w:customStyle="1" w:styleId="WW8Num19z3">
    <w:name w:val="WW8Num19z3"/>
    <w:rsid w:val="003F39BC"/>
    <w:rPr>
      <w:rFonts w:ascii="Symbol" w:hAnsi="Symbol"/>
    </w:rPr>
  </w:style>
  <w:style w:type="character" w:customStyle="1" w:styleId="WW8Num20z1">
    <w:name w:val="WW8Num20z1"/>
    <w:rsid w:val="003F39BC"/>
    <w:rPr>
      <w:rFonts w:ascii="Courier New" w:hAnsi="Courier New"/>
    </w:rPr>
  </w:style>
  <w:style w:type="character" w:customStyle="1" w:styleId="WW8Num21z1">
    <w:name w:val="WW8Num21z1"/>
    <w:rsid w:val="003F39BC"/>
    <w:rPr>
      <w:rFonts w:ascii="Courier New" w:hAnsi="Courier New"/>
    </w:rPr>
  </w:style>
  <w:style w:type="character" w:customStyle="1" w:styleId="WW8Num22z1">
    <w:name w:val="WW8Num22z1"/>
    <w:rsid w:val="003F39BC"/>
    <w:rPr>
      <w:rFonts w:ascii="Courier New" w:hAnsi="Courier New" w:cs="Courier New"/>
    </w:rPr>
  </w:style>
  <w:style w:type="character" w:customStyle="1" w:styleId="WW8Num22z2">
    <w:name w:val="WW8Num22z2"/>
    <w:rsid w:val="003F39BC"/>
    <w:rPr>
      <w:rFonts w:ascii="Wingdings" w:hAnsi="Wingdings"/>
    </w:rPr>
  </w:style>
  <w:style w:type="character" w:customStyle="1" w:styleId="WW8Num25z1">
    <w:name w:val="WW8Num25z1"/>
    <w:rsid w:val="003F39BC"/>
    <w:rPr>
      <w:rFonts w:ascii="Courier New" w:hAnsi="Courier New" w:cs="Courier New"/>
    </w:rPr>
  </w:style>
  <w:style w:type="character" w:customStyle="1" w:styleId="WW8Num25z2">
    <w:name w:val="WW8Num25z2"/>
    <w:rsid w:val="003F39BC"/>
    <w:rPr>
      <w:rFonts w:ascii="Wingdings" w:hAnsi="Wingdings"/>
    </w:rPr>
  </w:style>
  <w:style w:type="character" w:customStyle="1" w:styleId="WW8Num26z1">
    <w:name w:val="WW8Num26z1"/>
    <w:rsid w:val="003F39BC"/>
    <w:rPr>
      <w:rFonts w:ascii="Courier New" w:hAnsi="Courier New" w:cs="Courier New"/>
    </w:rPr>
  </w:style>
  <w:style w:type="character" w:customStyle="1" w:styleId="WW8Num26z2">
    <w:name w:val="WW8Num26z2"/>
    <w:rsid w:val="003F39BC"/>
    <w:rPr>
      <w:rFonts w:ascii="Wingdings" w:hAnsi="Wingdings"/>
    </w:rPr>
  </w:style>
  <w:style w:type="character" w:customStyle="1" w:styleId="WW8Num27z2">
    <w:name w:val="WW8Num27z2"/>
    <w:rsid w:val="003F39BC"/>
    <w:rPr>
      <w:rFonts w:ascii="Wingdings" w:hAnsi="Wingdings"/>
    </w:rPr>
  </w:style>
  <w:style w:type="character" w:customStyle="1" w:styleId="WW8Num27z3">
    <w:name w:val="WW8Num27z3"/>
    <w:rsid w:val="003F39BC"/>
    <w:rPr>
      <w:rFonts w:ascii="Symbol" w:hAnsi="Symbol"/>
    </w:rPr>
  </w:style>
  <w:style w:type="character" w:customStyle="1" w:styleId="WW8Num27z4">
    <w:name w:val="WW8Num27z4"/>
    <w:rsid w:val="003F39BC"/>
    <w:rPr>
      <w:rFonts w:ascii="Courier New" w:hAnsi="Courier New"/>
    </w:rPr>
  </w:style>
  <w:style w:type="character" w:customStyle="1" w:styleId="WW8Num28z1">
    <w:name w:val="WW8Num28z1"/>
    <w:rsid w:val="003F39BC"/>
    <w:rPr>
      <w:rFonts w:ascii="Courier New" w:hAnsi="Courier New" w:cs="Courier New"/>
    </w:rPr>
  </w:style>
  <w:style w:type="character" w:customStyle="1" w:styleId="WW8Num28z2">
    <w:name w:val="WW8Num28z2"/>
    <w:rsid w:val="003F39BC"/>
    <w:rPr>
      <w:rFonts w:ascii="Wingdings" w:hAnsi="Wingdings"/>
    </w:rPr>
  </w:style>
  <w:style w:type="character" w:customStyle="1" w:styleId="WW8Num31z1">
    <w:name w:val="WW8Num31z1"/>
    <w:rsid w:val="003F39BC"/>
    <w:rPr>
      <w:rFonts w:ascii="Courier New" w:hAnsi="Courier New"/>
    </w:rPr>
  </w:style>
  <w:style w:type="character" w:customStyle="1" w:styleId="WW8Num31z2">
    <w:name w:val="WW8Num31z2"/>
    <w:rsid w:val="003F39BC"/>
    <w:rPr>
      <w:rFonts w:ascii="Wingdings" w:hAnsi="Wingdings"/>
    </w:rPr>
  </w:style>
  <w:style w:type="character" w:customStyle="1" w:styleId="WW8Num31z3">
    <w:name w:val="WW8Num31z3"/>
    <w:rsid w:val="003F39BC"/>
    <w:rPr>
      <w:rFonts w:ascii="Symbol" w:hAnsi="Symbol"/>
    </w:rPr>
  </w:style>
  <w:style w:type="character" w:customStyle="1" w:styleId="WW8Num32z1">
    <w:name w:val="WW8Num32z1"/>
    <w:rsid w:val="003F39BC"/>
    <w:rPr>
      <w:rFonts w:ascii="Courier New" w:hAnsi="Courier New"/>
    </w:rPr>
  </w:style>
  <w:style w:type="character" w:customStyle="1" w:styleId="WW8Num32z2">
    <w:name w:val="WW8Num32z2"/>
    <w:rsid w:val="003F39BC"/>
    <w:rPr>
      <w:rFonts w:ascii="Wingdings" w:hAnsi="Wingdings"/>
    </w:rPr>
  </w:style>
  <w:style w:type="character" w:customStyle="1" w:styleId="WW8Num32z3">
    <w:name w:val="WW8Num32z3"/>
    <w:rsid w:val="003F39BC"/>
    <w:rPr>
      <w:rFonts w:ascii="Symbol" w:hAnsi="Symbol"/>
    </w:rPr>
  </w:style>
  <w:style w:type="character" w:customStyle="1" w:styleId="WW8Num33z1">
    <w:name w:val="WW8Num33z1"/>
    <w:rsid w:val="003F39BC"/>
    <w:rPr>
      <w:rFonts w:ascii="Courier New" w:hAnsi="Courier New" w:cs="Courier New"/>
    </w:rPr>
  </w:style>
  <w:style w:type="character" w:customStyle="1" w:styleId="WW8Num33z2">
    <w:name w:val="WW8Num33z2"/>
    <w:rsid w:val="003F39BC"/>
    <w:rPr>
      <w:rFonts w:ascii="Wingdings" w:hAnsi="Wingdings"/>
    </w:rPr>
  </w:style>
  <w:style w:type="character" w:customStyle="1" w:styleId="WW8Num33z3">
    <w:name w:val="WW8Num33z3"/>
    <w:rsid w:val="003F39BC"/>
    <w:rPr>
      <w:rFonts w:ascii="Symbol" w:hAnsi="Symbol"/>
    </w:rPr>
  </w:style>
  <w:style w:type="character" w:customStyle="1" w:styleId="WW8Num34z1">
    <w:name w:val="WW8Num34z1"/>
    <w:rsid w:val="003F39BC"/>
    <w:rPr>
      <w:rFonts w:ascii="Courier New" w:hAnsi="Courier New" w:cs="Courier New"/>
    </w:rPr>
  </w:style>
  <w:style w:type="character" w:customStyle="1" w:styleId="WW8Num34z3">
    <w:name w:val="WW8Num34z3"/>
    <w:rsid w:val="003F39BC"/>
    <w:rPr>
      <w:rFonts w:ascii="Symbol" w:hAnsi="Symbol"/>
    </w:rPr>
  </w:style>
  <w:style w:type="character" w:customStyle="1" w:styleId="WW8Num35z1">
    <w:name w:val="WW8Num35z1"/>
    <w:rsid w:val="003F39BC"/>
    <w:rPr>
      <w:rFonts w:ascii="Courier New" w:hAnsi="Courier New" w:cs="Courier New"/>
    </w:rPr>
  </w:style>
  <w:style w:type="character" w:customStyle="1" w:styleId="WW8Num35z3">
    <w:name w:val="WW8Num35z3"/>
    <w:rsid w:val="003F39BC"/>
    <w:rPr>
      <w:rFonts w:ascii="Symbol" w:hAnsi="Symbol"/>
    </w:rPr>
  </w:style>
  <w:style w:type="character" w:customStyle="1" w:styleId="WW8Num36z1">
    <w:name w:val="WW8Num36z1"/>
    <w:rsid w:val="003F39BC"/>
    <w:rPr>
      <w:rFonts w:ascii="Courier New" w:hAnsi="Courier New" w:cs="Courier New"/>
    </w:rPr>
  </w:style>
  <w:style w:type="character" w:customStyle="1" w:styleId="WW8Num36z2">
    <w:name w:val="WW8Num36z2"/>
    <w:rsid w:val="003F39BC"/>
    <w:rPr>
      <w:rFonts w:ascii="Wingdings" w:hAnsi="Wingdings" w:cs="Wingdings"/>
    </w:rPr>
  </w:style>
  <w:style w:type="character" w:customStyle="1" w:styleId="WW8Num36z3">
    <w:name w:val="WW8Num36z3"/>
    <w:rsid w:val="003F39BC"/>
    <w:rPr>
      <w:rFonts w:ascii="Symbol" w:hAnsi="Symbol" w:cs="Symbol"/>
    </w:rPr>
  </w:style>
  <w:style w:type="character" w:customStyle="1" w:styleId="WW8Num38z1">
    <w:name w:val="WW8Num38z1"/>
    <w:rsid w:val="003F39BC"/>
    <w:rPr>
      <w:rFonts w:ascii="Courier New" w:hAnsi="Courier New" w:cs="Courier New"/>
    </w:rPr>
  </w:style>
  <w:style w:type="character" w:customStyle="1" w:styleId="WW8Num39z1">
    <w:name w:val="WW8Num39z1"/>
    <w:rsid w:val="003F39BC"/>
    <w:rPr>
      <w:rFonts w:ascii="Courier New" w:hAnsi="Courier New"/>
    </w:rPr>
  </w:style>
  <w:style w:type="character" w:customStyle="1" w:styleId="WW8Num39z2">
    <w:name w:val="WW8Num39z2"/>
    <w:rsid w:val="003F39BC"/>
    <w:rPr>
      <w:rFonts w:ascii="Wingdings" w:hAnsi="Wingdings"/>
    </w:rPr>
  </w:style>
  <w:style w:type="character" w:customStyle="1" w:styleId="WW8Num39z3">
    <w:name w:val="WW8Num39z3"/>
    <w:rsid w:val="003F39BC"/>
    <w:rPr>
      <w:rFonts w:ascii="Symbol" w:hAnsi="Symbol"/>
    </w:rPr>
  </w:style>
  <w:style w:type="character" w:customStyle="1" w:styleId="WW8Num41z1">
    <w:name w:val="WW8Num41z1"/>
    <w:rsid w:val="003F39BC"/>
    <w:rPr>
      <w:rFonts w:ascii="Courier New" w:hAnsi="Courier New" w:cs="Courier New"/>
    </w:rPr>
  </w:style>
  <w:style w:type="character" w:customStyle="1" w:styleId="WW8Num42z1">
    <w:name w:val="WW8Num42z1"/>
    <w:rsid w:val="003F39BC"/>
    <w:rPr>
      <w:rFonts w:ascii="Courier New" w:hAnsi="Courier New" w:cs="Courier New"/>
    </w:rPr>
  </w:style>
  <w:style w:type="character" w:customStyle="1" w:styleId="WW8Num42z2">
    <w:name w:val="WW8Num42z2"/>
    <w:rsid w:val="003F39BC"/>
    <w:rPr>
      <w:rFonts w:ascii="Wingdings" w:hAnsi="Wingdings"/>
    </w:rPr>
  </w:style>
  <w:style w:type="character" w:customStyle="1" w:styleId="WW8Num42z3">
    <w:name w:val="WW8Num42z3"/>
    <w:rsid w:val="003F39BC"/>
    <w:rPr>
      <w:rFonts w:ascii="Symbol" w:hAnsi="Symbol"/>
    </w:rPr>
  </w:style>
  <w:style w:type="character" w:customStyle="1" w:styleId="WW8Num43z0">
    <w:name w:val="WW8Num43z0"/>
    <w:rsid w:val="003F39BC"/>
    <w:rPr>
      <w:b/>
    </w:rPr>
  </w:style>
  <w:style w:type="character" w:customStyle="1" w:styleId="WW8Num44z0">
    <w:name w:val="WW8Num44z0"/>
    <w:rsid w:val="003F39BC"/>
    <w:rPr>
      <w:rFonts w:ascii="Symbol" w:hAnsi="Symbol"/>
      <w:color w:val="auto"/>
      <w:sz w:val="24"/>
    </w:rPr>
  </w:style>
  <w:style w:type="character" w:customStyle="1" w:styleId="WW8Num44z1">
    <w:name w:val="WW8Num44z1"/>
    <w:rsid w:val="003F39BC"/>
    <w:rPr>
      <w:rFonts w:ascii="Courier New" w:hAnsi="Courier New"/>
    </w:rPr>
  </w:style>
  <w:style w:type="character" w:customStyle="1" w:styleId="WW8Num44z2">
    <w:name w:val="WW8Num44z2"/>
    <w:rsid w:val="003F39BC"/>
    <w:rPr>
      <w:rFonts w:ascii="Wingdings" w:hAnsi="Wingdings"/>
    </w:rPr>
  </w:style>
  <w:style w:type="character" w:customStyle="1" w:styleId="WW8Num44z3">
    <w:name w:val="WW8Num44z3"/>
    <w:rsid w:val="003F39BC"/>
    <w:rPr>
      <w:rFonts w:ascii="Symbol" w:hAnsi="Symbol"/>
    </w:rPr>
  </w:style>
  <w:style w:type="character" w:customStyle="1" w:styleId="WW8Num45z0">
    <w:name w:val="WW8Num45z0"/>
    <w:rsid w:val="003F39BC"/>
    <w:rPr>
      <w:rFonts w:ascii="Symbol" w:hAnsi="Symbol"/>
      <w:color w:val="auto"/>
    </w:rPr>
  </w:style>
  <w:style w:type="character" w:customStyle="1" w:styleId="WW8Num45z1">
    <w:name w:val="WW8Num45z1"/>
    <w:rsid w:val="003F39BC"/>
    <w:rPr>
      <w:rFonts w:ascii="Courier New" w:hAnsi="Courier New" w:cs="Courier New"/>
    </w:rPr>
  </w:style>
  <w:style w:type="character" w:customStyle="1" w:styleId="WW8Num45z2">
    <w:name w:val="WW8Num45z2"/>
    <w:rsid w:val="003F39BC"/>
    <w:rPr>
      <w:rFonts w:ascii="Wingdings" w:hAnsi="Wingdings"/>
    </w:rPr>
  </w:style>
  <w:style w:type="character" w:customStyle="1" w:styleId="WW8Num45z3">
    <w:name w:val="WW8Num45z3"/>
    <w:rsid w:val="003F39BC"/>
    <w:rPr>
      <w:rFonts w:ascii="Symbol" w:hAnsi="Symbol"/>
    </w:rPr>
  </w:style>
  <w:style w:type="character" w:customStyle="1" w:styleId="WW8Num46z0">
    <w:name w:val="WW8Num46z0"/>
    <w:rsid w:val="003F39BC"/>
    <w:rPr>
      <w:rFonts w:ascii="Times New Roman" w:hAnsi="Times New Roman" w:cs="Times New Roman"/>
    </w:rPr>
  </w:style>
  <w:style w:type="character" w:customStyle="1" w:styleId="WW8Num46z1">
    <w:name w:val="WW8Num46z1"/>
    <w:rsid w:val="003F39BC"/>
    <w:rPr>
      <w:rFonts w:ascii="Courier New" w:hAnsi="Courier New" w:cs="Courier New"/>
    </w:rPr>
  </w:style>
  <w:style w:type="character" w:customStyle="1" w:styleId="WW8Num46z2">
    <w:name w:val="WW8Num46z2"/>
    <w:rsid w:val="003F39BC"/>
    <w:rPr>
      <w:rFonts w:ascii="Wingdings" w:hAnsi="Wingdings"/>
    </w:rPr>
  </w:style>
  <w:style w:type="character" w:customStyle="1" w:styleId="WW8Num46z3">
    <w:name w:val="WW8Num46z3"/>
    <w:rsid w:val="003F39BC"/>
    <w:rPr>
      <w:rFonts w:ascii="Symbol" w:hAnsi="Symbol"/>
    </w:rPr>
  </w:style>
  <w:style w:type="character" w:customStyle="1" w:styleId="WW8Num47z0">
    <w:name w:val="WW8Num47z0"/>
    <w:rsid w:val="003F39BC"/>
    <w:rPr>
      <w:b/>
    </w:rPr>
  </w:style>
  <w:style w:type="character" w:customStyle="1" w:styleId="WW8Num48z1">
    <w:name w:val="WW8Num48z1"/>
    <w:rsid w:val="003F39BC"/>
    <w:rPr>
      <w:rFonts w:ascii="Courier New" w:hAnsi="Courier New" w:cs="Courier New"/>
    </w:rPr>
  </w:style>
  <w:style w:type="character" w:customStyle="1" w:styleId="WW8Num48z2">
    <w:name w:val="WW8Num48z2"/>
    <w:rsid w:val="003F39BC"/>
    <w:rPr>
      <w:rFonts w:ascii="Wingdings" w:hAnsi="Wingdings"/>
    </w:rPr>
  </w:style>
  <w:style w:type="character" w:customStyle="1" w:styleId="WW8Num48z3">
    <w:name w:val="WW8Num48z3"/>
    <w:rsid w:val="003F39BC"/>
    <w:rPr>
      <w:rFonts w:ascii="Symbol" w:hAnsi="Symbol"/>
    </w:rPr>
  </w:style>
  <w:style w:type="character" w:customStyle="1" w:styleId="WW8Num49z0">
    <w:name w:val="WW8Num49z0"/>
    <w:rsid w:val="003F39BC"/>
    <w:rPr>
      <w:rFonts w:ascii="Symbol" w:hAnsi="Symbol"/>
    </w:rPr>
  </w:style>
  <w:style w:type="character" w:customStyle="1" w:styleId="WW8Num49z1">
    <w:name w:val="WW8Num49z1"/>
    <w:rsid w:val="003F39BC"/>
    <w:rPr>
      <w:rFonts w:ascii="Courier New" w:hAnsi="Courier New" w:cs="Courier New"/>
    </w:rPr>
  </w:style>
  <w:style w:type="character" w:customStyle="1" w:styleId="WW8Num49z2">
    <w:name w:val="WW8Num49z2"/>
    <w:rsid w:val="003F39BC"/>
    <w:rPr>
      <w:rFonts w:ascii="Wingdings" w:hAnsi="Wingdings"/>
    </w:rPr>
  </w:style>
  <w:style w:type="character" w:customStyle="1" w:styleId="WW8Num50z0">
    <w:name w:val="WW8Num50z0"/>
    <w:rsid w:val="003F39BC"/>
    <w:rPr>
      <w:rFonts w:ascii="Symbol" w:hAnsi="Symbol"/>
    </w:rPr>
  </w:style>
  <w:style w:type="character" w:customStyle="1" w:styleId="WW8Num50z1">
    <w:name w:val="WW8Num50z1"/>
    <w:rsid w:val="003F39BC"/>
    <w:rPr>
      <w:rFonts w:ascii="Courier New" w:hAnsi="Courier New" w:cs="Courier New"/>
    </w:rPr>
  </w:style>
  <w:style w:type="character" w:customStyle="1" w:styleId="WW8Num50z2">
    <w:name w:val="WW8Num50z2"/>
    <w:rsid w:val="003F39BC"/>
    <w:rPr>
      <w:rFonts w:ascii="Wingdings" w:hAnsi="Wingdings"/>
    </w:rPr>
  </w:style>
  <w:style w:type="character" w:customStyle="1" w:styleId="WW8Num52z1">
    <w:name w:val="WW8Num52z1"/>
    <w:rsid w:val="003F39BC"/>
    <w:rPr>
      <w:rFonts w:ascii="Courier New" w:hAnsi="Courier New"/>
    </w:rPr>
  </w:style>
  <w:style w:type="character" w:customStyle="1" w:styleId="WW8Num52z2">
    <w:name w:val="WW8Num52z2"/>
    <w:rsid w:val="003F39BC"/>
    <w:rPr>
      <w:rFonts w:ascii="Wingdings" w:hAnsi="Wingdings"/>
    </w:rPr>
  </w:style>
  <w:style w:type="character" w:customStyle="1" w:styleId="WW8Num52z3">
    <w:name w:val="WW8Num52z3"/>
    <w:rsid w:val="003F39BC"/>
    <w:rPr>
      <w:rFonts w:ascii="Symbol" w:hAnsi="Symbol"/>
    </w:rPr>
  </w:style>
  <w:style w:type="character" w:customStyle="1" w:styleId="WW8Num53z0">
    <w:name w:val="WW8Num53z0"/>
    <w:rsid w:val="003F39BC"/>
    <w:rPr>
      <w:b/>
    </w:rPr>
  </w:style>
  <w:style w:type="character" w:customStyle="1" w:styleId="WW8Num54z0">
    <w:name w:val="WW8Num54z0"/>
    <w:rsid w:val="003F39BC"/>
    <w:rPr>
      <w:rFonts w:ascii="Symbol" w:hAnsi="Symbol"/>
      <w:color w:val="auto"/>
    </w:rPr>
  </w:style>
  <w:style w:type="character" w:customStyle="1" w:styleId="WW8Num54z2">
    <w:name w:val="WW8Num54z2"/>
    <w:rsid w:val="003F39BC"/>
    <w:rPr>
      <w:rFonts w:ascii="Wingdings" w:hAnsi="Wingdings"/>
    </w:rPr>
  </w:style>
  <w:style w:type="character" w:customStyle="1" w:styleId="WW8Num54z3">
    <w:name w:val="WW8Num54z3"/>
    <w:rsid w:val="003F39BC"/>
    <w:rPr>
      <w:rFonts w:ascii="Symbol" w:hAnsi="Symbol"/>
    </w:rPr>
  </w:style>
  <w:style w:type="character" w:customStyle="1" w:styleId="WW8Num54z4">
    <w:name w:val="WW8Num54z4"/>
    <w:rsid w:val="003F39BC"/>
    <w:rPr>
      <w:rFonts w:ascii="Courier New" w:hAnsi="Courier New" w:cs="Courier New"/>
    </w:rPr>
  </w:style>
  <w:style w:type="character" w:customStyle="1" w:styleId="12">
    <w:name w:val="Основной шрифт абзаца1"/>
    <w:rsid w:val="003F39BC"/>
  </w:style>
  <w:style w:type="character" w:customStyle="1" w:styleId="bodytext">
    <w:name w:val="bodytext"/>
    <w:basedOn w:val="12"/>
    <w:rsid w:val="003F39BC"/>
  </w:style>
  <w:style w:type="character" w:customStyle="1" w:styleId="PEStyleFont4">
    <w:name w:val="PEStyleFont4"/>
    <w:rsid w:val="003F39BC"/>
    <w:rPr>
      <w:rFonts w:ascii="Arial CYR" w:hAnsi="Arial CYR"/>
      <w:b/>
      <w:i/>
      <w:spacing w:val="0"/>
      <w:position w:val="0"/>
      <w:sz w:val="28"/>
      <w:szCs w:val="28"/>
      <w:u w:val="none"/>
      <w:vertAlign w:val="baseline"/>
    </w:rPr>
  </w:style>
  <w:style w:type="character" w:customStyle="1" w:styleId="PEStyleFont5">
    <w:name w:val="PEStyleFont5"/>
    <w:rsid w:val="003F39BC"/>
    <w:rPr>
      <w:rFonts w:ascii="Arial CYR" w:hAnsi="Arial CYR"/>
      <w:b/>
      <w:spacing w:val="0"/>
      <w:position w:val="0"/>
      <w:sz w:val="16"/>
      <w:szCs w:val="16"/>
      <w:u w:val="none"/>
      <w:vertAlign w:val="baseline"/>
    </w:rPr>
  </w:style>
  <w:style w:type="character" w:customStyle="1" w:styleId="PEStyleFont6">
    <w:name w:val="PEStyleFont6"/>
    <w:rsid w:val="003F39BC"/>
    <w:rPr>
      <w:rFonts w:ascii="Arial CYR" w:hAnsi="Arial CYR"/>
      <w:b/>
      <w:spacing w:val="0"/>
      <w:position w:val="0"/>
      <w:sz w:val="16"/>
      <w:szCs w:val="16"/>
      <w:u w:val="none"/>
      <w:vertAlign w:val="baseline"/>
    </w:rPr>
  </w:style>
  <w:style w:type="character" w:customStyle="1" w:styleId="PEStyleFont7">
    <w:name w:val="PEStyleFont7"/>
    <w:rsid w:val="003F39BC"/>
    <w:rPr>
      <w:rFonts w:ascii="Arial CYR" w:hAnsi="Arial CYR"/>
      <w:spacing w:val="0"/>
      <w:position w:val="0"/>
      <w:sz w:val="16"/>
      <w:szCs w:val="16"/>
      <w:u w:val="none"/>
      <w:vertAlign w:val="baseline"/>
    </w:rPr>
  </w:style>
  <w:style w:type="character" w:customStyle="1" w:styleId="txt1">
    <w:name w:val="txt1"/>
    <w:rsid w:val="003F39BC"/>
    <w:rPr>
      <w:rFonts w:ascii="Tahoma" w:hAnsi="Tahoma" w:cs="Tahoma"/>
      <w:color w:val="585858"/>
      <w:sz w:val="21"/>
      <w:szCs w:val="21"/>
    </w:rPr>
  </w:style>
  <w:style w:type="character" w:customStyle="1" w:styleId="textblock2">
    <w:name w:val="textblock2"/>
    <w:rsid w:val="003F39BC"/>
    <w:rPr>
      <w:rFonts w:ascii="Tahoma" w:hAnsi="Tahoma" w:cs="Tahoma"/>
      <w:color w:val="262626"/>
      <w:sz w:val="16"/>
      <w:szCs w:val="16"/>
    </w:rPr>
  </w:style>
  <w:style w:type="character" w:customStyle="1" w:styleId="afd">
    <w:name w:val="Нумерованный ) Знак"/>
    <w:rsid w:val="003F39BC"/>
    <w:rPr>
      <w:rFonts w:ascii="Arial" w:hAnsi="Arial"/>
      <w:sz w:val="24"/>
      <w:szCs w:val="28"/>
      <w:lang w:val="ru-RU" w:eastAsia="ar-SA" w:bidi="ar-SA"/>
    </w:rPr>
  </w:style>
  <w:style w:type="character" w:customStyle="1" w:styleId="afe">
    <w:name w:val="Текст раздела Знак"/>
    <w:rsid w:val="003F39BC"/>
    <w:rPr>
      <w:rFonts w:ascii="Courier New" w:hAnsi="Courier New" w:cs="Courier New"/>
      <w:b/>
      <w:bCs/>
      <w:i/>
      <w:iCs/>
      <w:lang w:val="ru-RU" w:eastAsia="ar-SA" w:bidi="ar-SA"/>
    </w:rPr>
  </w:style>
  <w:style w:type="character" w:customStyle="1" w:styleId="aff">
    <w:name w:val="Основной стиль текстовки Знак"/>
    <w:rsid w:val="003F39BC"/>
    <w:rPr>
      <w:rFonts w:ascii="Courier New" w:hAnsi="Courier New" w:cs="Courier New"/>
      <w:lang w:val="ru-RU" w:eastAsia="ar-SA" w:bidi="ar-SA"/>
    </w:rPr>
  </w:style>
  <w:style w:type="character" w:customStyle="1" w:styleId="13">
    <w:name w:val="Знак примечания1"/>
    <w:rsid w:val="003F39BC"/>
    <w:rPr>
      <w:sz w:val="16"/>
      <w:szCs w:val="16"/>
    </w:rPr>
  </w:style>
  <w:style w:type="character" w:customStyle="1" w:styleId="aff0">
    <w:name w:val="Символ сноски"/>
    <w:rsid w:val="003F39BC"/>
    <w:rPr>
      <w:vertAlign w:val="superscript"/>
    </w:rPr>
  </w:style>
  <w:style w:type="character" w:customStyle="1" w:styleId="Subst0">
    <w:name w:val="Subst"/>
    <w:rsid w:val="003F39BC"/>
    <w:rPr>
      <w:b/>
      <w:i/>
    </w:rPr>
  </w:style>
  <w:style w:type="character" w:customStyle="1" w:styleId="ei1">
    <w:name w:val="ei1"/>
    <w:basedOn w:val="12"/>
    <w:rsid w:val="003F39BC"/>
  </w:style>
  <w:style w:type="character" w:customStyle="1" w:styleId="aff1">
    <w:name w:val="Текст Знак"/>
    <w:rsid w:val="003F39BC"/>
    <w:rPr>
      <w:rFonts w:ascii="Courier New" w:hAnsi="Courier New" w:cs="Courier New"/>
      <w:lang w:val="ru-RU" w:eastAsia="ar-SA" w:bidi="ar-SA"/>
    </w:rPr>
  </w:style>
  <w:style w:type="character" w:customStyle="1" w:styleId="aff2">
    <w:name w:val="Символы концевой сноски"/>
    <w:rsid w:val="003F39BC"/>
    <w:rPr>
      <w:vertAlign w:val="superscript"/>
    </w:rPr>
  </w:style>
  <w:style w:type="character" w:customStyle="1" w:styleId="WW-">
    <w:name w:val="WW-Символы концевой сноски"/>
    <w:rsid w:val="003F39BC"/>
  </w:style>
  <w:style w:type="character" w:customStyle="1" w:styleId="aff3">
    <w:name w:val="Маркеры списка"/>
    <w:rsid w:val="003F39BC"/>
    <w:rPr>
      <w:rFonts w:ascii="StarSymbol" w:eastAsia="StarSymbol" w:hAnsi="StarSymbol" w:cs="StarSymbol"/>
      <w:sz w:val="18"/>
      <w:szCs w:val="18"/>
    </w:rPr>
  </w:style>
  <w:style w:type="paragraph" w:customStyle="1" w:styleId="14">
    <w:name w:val="Заголовок1"/>
    <w:basedOn w:val="a0"/>
    <w:next w:val="a8"/>
    <w:rsid w:val="003F39BC"/>
    <w:pPr>
      <w:keepNext/>
      <w:suppressAutoHyphens/>
      <w:spacing w:before="240" w:after="120" w:line="240" w:lineRule="auto"/>
    </w:pPr>
    <w:rPr>
      <w:rFonts w:ascii="Arial" w:eastAsia="MS Mincho" w:hAnsi="Arial" w:cs="Tahoma"/>
      <w:sz w:val="28"/>
      <w:szCs w:val="28"/>
      <w:lang w:eastAsia="ar-SA"/>
    </w:rPr>
  </w:style>
  <w:style w:type="paragraph" w:customStyle="1" w:styleId="15">
    <w:name w:val="Название1"/>
    <w:basedOn w:val="a0"/>
    <w:rsid w:val="003F39BC"/>
    <w:pPr>
      <w:suppressLineNumbers/>
      <w:suppressAutoHyphens/>
      <w:spacing w:before="120" w:after="120" w:line="240" w:lineRule="auto"/>
    </w:pPr>
    <w:rPr>
      <w:rFonts w:ascii="Arial" w:eastAsia="Times New Roman" w:hAnsi="Arial" w:cs="Tahoma"/>
      <w:i/>
      <w:iCs/>
      <w:sz w:val="20"/>
      <w:szCs w:val="24"/>
      <w:lang w:eastAsia="ar-SA"/>
    </w:rPr>
  </w:style>
  <w:style w:type="paragraph" w:customStyle="1" w:styleId="16">
    <w:name w:val="Указатель1"/>
    <w:basedOn w:val="a0"/>
    <w:rsid w:val="003F39BC"/>
    <w:pPr>
      <w:suppressLineNumbers/>
      <w:suppressAutoHyphens/>
      <w:spacing w:after="0" w:line="240" w:lineRule="auto"/>
    </w:pPr>
    <w:rPr>
      <w:rFonts w:ascii="Arial" w:eastAsia="Times New Roman" w:hAnsi="Arial" w:cs="Tahoma"/>
      <w:sz w:val="24"/>
      <w:szCs w:val="24"/>
      <w:lang w:eastAsia="ar-SA"/>
    </w:rPr>
  </w:style>
  <w:style w:type="paragraph" w:customStyle="1" w:styleId="aff4">
    <w:name w:val="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211">
    <w:name w:val="Основной текст с отступом 21"/>
    <w:basedOn w:val="a0"/>
    <w:rsid w:val="003F39BC"/>
    <w:pPr>
      <w:suppressAutoHyphens/>
      <w:spacing w:before="120" w:after="0" w:line="252" w:lineRule="auto"/>
      <w:ind w:left="40" w:firstLine="720"/>
      <w:jc w:val="both"/>
    </w:pPr>
    <w:rPr>
      <w:rFonts w:ascii="Times New Roman" w:eastAsia="Times New Roman" w:hAnsi="Times New Roman" w:cs="Times New Roman"/>
      <w:sz w:val="24"/>
      <w:szCs w:val="24"/>
      <w:lang w:eastAsia="ar-SA"/>
    </w:rPr>
  </w:style>
  <w:style w:type="paragraph" w:customStyle="1" w:styleId="310">
    <w:name w:val="Основной текст с отступом 31"/>
    <w:basedOn w:val="a0"/>
    <w:rsid w:val="003F39BC"/>
    <w:pPr>
      <w:tabs>
        <w:tab w:val="left" w:pos="851"/>
      </w:tabs>
      <w:suppressAutoHyphens/>
      <w:spacing w:before="120" w:after="0" w:line="252" w:lineRule="auto"/>
      <w:ind w:firstLine="425"/>
      <w:jc w:val="both"/>
    </w:pPr>
    <w:rPr>
      <w:rFonts w:ascii="Times New Roman" w:eastAsia="Times New Roman" w:hAnsi="Times New Roman" w:cs="Times New Roman"/>
      <w:sz w:val="24"/>
      <w:szCs w:val="24"/>
      <w:lang w:eastAsia="ar-SA"/>
    </w:rPr>
  </w:style>
  <w:style w:type="paragraph" w:customStyle="1" w:styleId="aff5">
    <w:name w:val="Знак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17">
    <w:name w:val="Прощание1"/>
    <w:basedOn w:val="a0"/>
    <w:rsid w:val="003F39BC"/>
    <w:pPr>
      <w:suppressAutoHyphens/>
      <w:spacing w:after="0" w:line="290" w:lineRule="atLeast"/>
    </w:pPr>
    <w:rPr>
      <w:rFonts w:ascii="Times New Roman" w:eastAsia="Times New Roman" w:hAnsi="Times New Roman" w:cs="Times New Roman"/>
      <w:sz w:val="24"/>
      <w:szCs w:val="20"/>
      <w:lang w:val="en-GB" w:eastAsia="ar-SA"/>
    </w:rPr>
  </w:style>
  <w:style w:type="paragraph" w:customStyle="1" w:styleId="aff6">
    <w:name w:val="Пункт Знак"/>
    <w:basedOn w:val="a0"/>
    <w:rsid w:val="003F39BC"/>
    <w:pPr>
      <w:tabs>
        <w:tab w:val="left" w:pos="9491"/>
        <w:tab w:val="left" w:pos="9774"/>
        <w:tab w:val="left" w:pos="10080"/>
      </w:tabs>
      <w:suppressAutoHyphens/>
      <w:snapToGrid w:val="0"/>
      <w:spacing w:after="0" w:line="360" w:lineRule="auto"/>
      <w:ind w:left="1440" w:hanging="360"/>
      <w:jc w:val="both"/>
    </w:pPr>
    <w:rPr>
      <w:rFonts w:ascii="Times New Roman" w:eastAsia="Times New Roman" w:hAnsi="Times New Roman" w:cs="Times New Roman"/>
      <w:sz w:val="28"/>
      <w:szCs w:val="20"/>
      <w:lang w:eastAsia="ar-SA"/>
    </w:rPr>
  </w:style>
  <w:style w:type="paragraph" w:customStyle="1" w:styleId="aff7">
    <w:name w:val="Подпункт"/>
    <w:basedOn w:val="aff6"/>
    <w:rsid w:val="003F39BC"/>
    <w:pPr>
      <w:tabs>
        <w:tab w:val="left" w:pos="5957"/>
        <w:tab w:val="left" w:pos="6546"/>
        <w:tab w:val="left" w:pos="6829"/>
        <w:tab w:val="left" w:pos="7135"/>
        <w:tab w:val="left" w:pos="7418"/>
        <w:tab w:val="left" w:pos="7724"/>
        <w:tab w:val="left" w:pos="8007"/>
        <w:tab w:val="left" w:pos="8313"/>
        <w:tab w:val="left" w:pos="8596"/>
        <w:tab w:val="left" w:pos="8902"/>
        <w:tab w:val="left" w:pos="9185"/>
      </w:tabs>
      <w:ind w:left="851" w:hanging="851"/>
    </w:pPr>
  </w:style>
  <w:style w:type="paragraph" w:customStyle="1" w:styleId="aff8">
    <w:name w:val="Подподпункт"/>
    <w:basedOn w:val="aff7"/>
    <w:rsid w:val="003F39BC"/>
    <w:pPr>
      <w:tabs>
        <w:tab w:val="left" w:pos="6950"/>
        <w:tab w:val="left" w:pos="7539"/>
        <w:tab w:val="left" w:pos="7822"/>
        <w:tab w:val="left" w:pos="7943"/>
        <w:tab w:val="left" w:pos="8128"/>
        <w:tab w:val="left" w:pos="8411"/>
        <w:tab w:val="left" w:pos="8532"/>
        <w:tab w:val="left" w:pos="8717"/>
        <w:tab w:val="left" w:pos="8815"/>
        <w:tab w:val="left" w:pos="8936"/>
        <w:tab w:val="left" w:pos="9000"/>
        <w:tab w:val="left" w:pos="9121"/>
        <w:tab w:val="left" w:pos="9306"/>
        <w:tab w:val="left" w:pos="9404"/>
        <w:tab w:val="left" w:pos="9525"/>
        <w:tab w:val="left" w:pos="9589"/>
        <w:tab w:val="left" w:pos="9710"/>
        <w:tab w:val="left" w:pos="9808"/>
        <w:tab w:val="left" w:pos="9895"/>
        <w:tab w:val="left" w:pos="9929"/>
        <w:tab w:val="left" w:pos="9993"/>
        <w:tab w:val="left" w:pos="10114"/>
        <w:tab w:val="left" w:pos="10178"/>
        <w:tab w:val="left" w:pos="10299"/>
        <w:tab w:val="left" w:pos="10397"/>
        <w:tab w:val="left" w:pos="10484"/>
        <w:tab w:val="left" w:pos="10518"/>
        <w:tab w:val="left" w:pos="10582"/>
        <w:tab w:val="left" w:pos="10703"/>
        <w:tab w:val="left" w:pos="10801"/>
        <w:tab w:val="left" w:pos="10888"/>
        <w:tab w:val="left" w:pos="10922"/>
        <w:tab w:val="left" w:pos="10986"/>
        <w:tab w:val="left" w:pos="11107"/>
        <w:tab w:val="left" w:pos="11292"/>
        <w:tab w:val="left" w:pos="11390"/>
        <w:tab w:val="left" w:pos="11511"/>
        <w:tab w:val="left" w:pos="11696"/>
        <w:tab w:val="left" w:pos="11794"/>
        <w:tab w:val="left" w:pos="12100"/>
        <w:tab w:val="left" w:pos="12198"/>
        <w:tab w:val="left" w:pos="12482"/>
        <w:tab w:val="left" w:pos="12908"/>
      </w:tabs>
      <w:snapToGrid/>
      <w:ind w:left="1844" w:hanging="567"/>
    </w:pPr>
  </w:style>
  <w:style w:type="paragraph" w:customStyle="1" w:styleId="aff9">
    <w:name w:val="Подподподпункт"/>
    <w:basedOn w:val="a0"/>
    <w:rsid w:val="003F39BC"/>
    <w:pPr>
      <w:tabs>
        <w:tab w:val="left" w:pos="22494"/>
        <w:tab w:val="left" w:pos="23061"/>
        <w:tab w:val="left" w:pos="24920"/>
      </w:tabs>
      <w:suppressAutoHyphens/>
      <w:snapToGrid w:val="0"/>
      <w:spacing w:after="0" w:line="360" w:lineRule="auto"/>
      <w:ind w:left="3560" w:hanging="1008"/>
      <w:jc w:val="both"/>
    </w:pPr>
    <w:rPr>
      <w:rFonts w:ascii="Times New Roman" w:eastAsia="Times New Roman" w:hAnsi="Times New Roman" w:cs="Times New Roman"/>
      <w:sz w:val="28"/>
      <w:szCs w:val="20"/>
      <w:lang w:eastAsia="ar-SA"/>
    </w:rPr>
  </w:style>
  <w:style w:type="paragraph" w:customStyle="1" w:styleId="18">
    <w:name w:val="Пункт1"/>
    <w:basedOn w:val="a0"/>
    <w:rsid w:val="003F39BC"/>
    <w:pPr>
      <w:tabs>
        <w:tab w:val="left" w:pos="3969"/>
      </w:tabs>
      <w:suppressAutoHyphens/>
      <w:snapToGrid w:val="0"/>
      <w:spacing w:before="240" w:after="0" w:line="360" w:lineRule="auto"/>
      <w:ind w:left="567" w:hanging="279"/>
      <w:jc w:val="center"/>
    </w:pPr>
    <w:rPr>
      <w:rFonts w:ascii="Arial" w:eastAsia="Times New Roman" w:hAnsi="Arial" w:cs="Times New Roman"/>
      <w:b/>
      <w:sz w:val="28"/>
      <w:szCs w:val="28"/>
      <w:lang w:eastAsia="ar-SA"/>
    </w:rPr>
  </w:style>
  <w:style w:type="paragraph" w:customStyle="1" w:styleId="FR2">
    <w:name w:val="FR2"/>
    <w:rsid w:val="003F39BC"/>
    <w:pPr>
      <w:widowControl w:val="0"/>
      <w:suppressAutoHyphens/>
      <w:spacing w:after="0" w:line="300" w:lineRule="auto"/>
      <w:ind w:firstLine="480"/>
      <w:jc w:val="both"/>
    </w:pPr>
    <w:rPr>
      <w:rFonts w:ascii="Arial" w:eastAsia="Arial" w:hAnsi="Arial" w:cs="Times New Roman"/>
      <w:sz w:val="16"/>
      <w:szCs w:val="20"/>
      <w:lang w:eastAsia="ar-SA"/>
    </w:rPr>
  </w:style>
  <w:style w:type="paragraph" w:customStyle="1" w:styleId="BodyText22">
    <w:name w:val="Body Text 22"/>
    <w:basedOn w:val="a0"/>
    <w:rsid w:val="003F39BC"/>
    <w:pPr>
      <w:suppressAutoHyphens/>
      <w:spacing w:before="140" w:after="0" w:line="216" w:lineRule="auto"/>
      <w:ind w:left="400"/>
      <w:jc w:val="both"/>
    </w:pPr>
    <w:rPr>
      <w:rFonts w:ascii="Times New Roman" w:eastAsia="Times New Roman" w:hAnsi="Times New Roman" w:cs="Times New Roman"/>
      <w:sz w:val="24"/>
      <w:szCs w:val="20"/>
      <w:lang w:eastAsia="ar-SA"/>
    </w:rPr>
  </w:style>
  <w:style w:type="paragraph" w:customStyle="1" w:styleId="34">
    <w:name w:val="Знак Знак Знак Знак3"/>
    <w:basedOn w:val="a0"/>
    <w:rsid w:val="003F39BC"/>
    <w:pPr>
      <w:suppressAutoHyphens/>
      <w:spacing w:after="160" w:line="240" w:lineRule="exact"/>
      <w:jc w:val="both"/>
    </w:pPr>
    <w:rPr>
      <w:rFonts w:ascii="Verdana" w:eastAsia="Times New Roman" w:hAnsi="Verdana" w:cs="Times New Roman"/>
      <w:sz w:val="20"/>
      <w:szCs w:val="20"/>
      <w:lang w:val="en-US" w:eastAsia="ar-SA"/>
    </w:rPr>
  </w:style>
  <w:style w:type="paragraph" w:customStyle="1" w:styleId="19">
    <w:name w:val="Нумерованный список1"/>
    <w:basedOn w:val="a0"/>
    <w:rsid w:val="003F39BC"/>
    <w:pPr>
      <w:suppressAutoHyphens/>
      <w:spacing w:after="240" w:line="240" w:lineRule="atLeast"/>
      <w:ind w:right="720"/>
      <w:jc w:val="both"/>
    </w:pPr>
    <w:rPr>
      <w:rFonts w:ascii="Garamond" w:eastAsia="Times New Roman" w:hAnsi="Garamond" w:cs="Times New Roman"/>
      <w:sz w:val="24"/>
      <w:szCs w:val="20"/>
      <w:lang w:eastAsia="ar-SA"/>
    </w:rPr>
  </w:style>
  <w:style w:type="paragraph" w:customStyle="1" w:styleId="affa">
    <w:name w:val="Глава"/>
    <w:basedOn w:val="1"/>
    <w:rsid w:val="003F39BC"/>
    <w:pPr>
      <w:suppressAutoHyphens/>
      <w:spacing w:line="360" w:lineRule="auto"/>
      <w:ind w:firstLine="720"/>
      <w:jc w:val="right"/>
    </w:pPr>
    <w:rPr>
      <w:b w:val="0"/>
      <w:bCs w:val="0"/>
      <w:sz w:val="28"/>
      <w:szCs w:val="20"/>
      <w:lang w:val="en-US" w:eastAsia="ar-SA"/>
    </w:rPr>
  </w:style>
  <w:style w:type="paragraph" w:customStyle="1" w:styleId="320">
    <w:name w:val="Основной текст 32"/>
    <w:basedOn w:val="a0"/>
    <w:rsid w:val="003F39BC"/>
    <w:pPr>
      <w:suppressAutoHyphens/>
      <w:spacing w:after="120" w:line="240" w:lineRule="auto"/>
    </w:pPr>
    <w:rPr>
      <w:rFonts w:ascii="Times New Roman" w:eastAsia="Times New Roman" w:hAnsi="Times New Roman" w:cs="Times New Roman"/>
      <w:sz w:val="16"/>
      <w:szCs w:val="16"/>
      <w:lang w:eastAsia="ar-SA"/>
    </w:rPr>
  </w:style>
  <w:style w:type="paragraph" w:customStyle="1" w:styleId="120">
    <w:name w:val="Заголовок 1.2"/>
    <w:basedOn w:val="a0"/>
    <w:rsid w:val="003F39BC"/>
    <w:pPr>
      <w:suppressAutoHyphens/>
      <w:spacing w:before="120" w:after="120" w:line="240" w:lineRule="auto"/>
      <w:ind w:firstLine="567"/>
      <w:jc w:val="both"/>
    </w:pPr>
    <w:rPr>
      <w:rFonts w:ascii="Arial" w:eastAsia="Times New Roman" w:hAnsi="Arial" w:cs="Times New Roman"/>
      <w:i/>
      <w:color w:val="000000"/>
      <w:sz w:val="28"/>
      <w:szCs w:val="20"/>
      <w:lang w:eastAsia="ar-SA"/>
    </w:rPr>
  </w:style>
  <w:style w:type="paragraph" w:customStyle="1" w:styleId="SubHeading">
    <w:name w:val="Sub Heading"/>
    <w:rsid w:val="003F39BC"/>
    <w:pPr>
      <w:widowControl w:val="0"/>
      <w:suppressAutoHyphens/>
      <w:autoSpaceDE w:val="0"/>
      <w:spacing w:before="80" w:after="20" w:line="240" w:lineRule="auto"/>
    </w:pPr>
    <w:rPr>
      <w:rFonts w:ascii="Times New Roman" w:eastAsia="Arial" w:hAnsi="Times New Roman" w:cs="Times New Roman"/>
      <w:sz w:val="20"/>
      <w:szCs w:val="20"/>
      <w:lang w:eastAsia="ar-SA"/>
    </w:rPr>
  </w:style>
  <w:style w:type="paragraph" w:customStyle="1" w:styleId="xl30">
    <w:name w:val="xl30"/>
    <w:basedOn w:val="a0"/>
    <w:rsid w:val="003F39BC"/>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affb">
    <w:name w:val="т_значения"/>
    <w:basedOn w:val="a0"/>
    <w:rsid w:val="003F39BC"/>
    <w:pPr>
      <w:suppressAutoHyphens/>
      <w:spacing w:after="0" w:line="240" w:lineRule="auto"/>
      <w:jc w:val="center"/>
    </w:pPr>
    <w:rPr>
      <w:rFonts w:ascii="Times New Roman" w:eastAsia="Times New Roman" w:hAnsi="Times New Roman" w:cs="Times New Roman"/>
      <w:sz w:val="20"/>
      <w:szCs w:val="20"/>
      <w:lang w:eastAsia="ar-SA"/>
    </w:rPr>
  </w:style>
  <w:style w:type="paragraph" w:customStyle="1" w:styleId="1a">
    <w:name w:val="Цитата1"/>
    <w:basedOn w:val="a0"/>
    <w:rsid w:val="003F39BC"/>
    <w:pPr>
      <w:suppressAutoHyphens/>
      <w:spacing w:after="0" w:line="240" w:lineRule="auto"/>
      <w:ind w:left="-284" w:right="-70" w:firstLine="568"/>
      <w:jc w:val="both"/>
    </w:pPr>
    <w:rPr>
      <w:rFonts w:ascii="Times New Roman" w:eastAsia="Times New Roman" w:hAnsi="Times New Roman" w:cs="Times New Roman"/>
      <w:b/>
      <w:bCs/>
      <w:i/>
      <w:iCs/>
      <w:lang w:eastAsia="ar-SA"/>
    </w:rPr>
  </w:style>
  <w:style w:type="paragraph" w:customStyle="1" w:styleId="311">
    <w:name w:val="Основной текст 31"/>
    <w:basedOn w:val="a0"/>
    <w:rsid w:val="003F39BC"/>
    <w:pPr>
      <w:suppressAutoHyphens/>
      <w:spacing w:before="20" w:after="0" w:line="240" w:lineRule="auto"/>
    </w:pPr>
    <w:rPr>
      <w:rFonts w:ascii="Times New Roman" w:eastAsia="Times New Roman" w:hAnsi="Times New Roman" w:cs="Times New Roman"/>
      <w:sz w:val="24"/>
      <w:szCs w:val="20"/>
      <w:lang w:eastAsia="ar-SA"/>
    </w:rPr>
  </w:style>
  <w:style w:type="paragraph" w:customStyle="1" w:styleId="26">
    <w:name w:val="Цитата2"/>
    <w:basedOn w:val="a0"/>
    <w:rsid w:val="003F39BC"/>
    <w:pPr>
      <w:widowControl w:val="0"/>
      <w:suppressAutoHyphens/>
      <w:spacing w:after="0" w:line="300" w:lineRule="auto"/>
      <w:ind w:left="760" w:right="1004" w:hanging="420"/>
      <w:jc w:val="both"/>
    </w:pPr>
    <w:rPr>
      <w:rFonts w:ascii="Times New Roman" w:eastAsia="Times New Roman" w:hAnsi="Times New Roman" w:cs="Times New Roman"/>
      <w:sz w:val="24"/>
      <w:szCs w:val="20"/>
      <w:lang w:eastAsia="ar-SA"/>
    </w:rPr>
  </w:style>
  <w:style w:type="paragraph" w:customStyle="1" w:styleId="110">
    <w:name w:val="Заголовок 1.1"/>
    <w:basedOn w:val="1"/>
    <w:rsid w:val="003F39BC"/>
    <w:pPr>
      <w:suppressAutoHyphens/>
      <w:spacing w:before="240" w:after="60" w:line="360" w:lineRule="auto"/>
      <w:jc w:val="left"/>
    </w:pPr>
    <w:rPr>
      <w:rFonts w:ascii="Arial" w:hAnsi="Arial" w:cs="Arial"/>
      <w:b w:val="0"/>
      <w:i/>
      <w:kern w:val="1"/>
      <w:sz w:val="28"/>
      <w:szCs w:val="32"/>
      <w:u w:val="single"/>
      <w:lang w:eastAsia="ar-SA"/>
    </w:rPr>
  </w:style>
  <w:style w:type="paragraph" w:customStyle="1" w:styleId="1b">
    <w:name w:val="Обычный1"/>
    <w:rsid w:val="003F39BC"/>
    <w:pPr>
      <w:suppressAutoHyphens/>
      <w:spacing w:after="0" w:line="240" w:lineRule="auto"/>
    </w:pPr>
    <w:rPr>
      <w:rFonts w:ascii="AGOpus" w:eastAsia="Arial" w:hAnsi="AGOpus" w:cs="Times New Roman"/>
      <w:color w:val="000000"/>
      <w:szCs w:val="20"/>
      <w:lang w:eastAsia="ar-SA"/>
    </w:rPr>
  </w:style>
  <w:style w:type="paragraph" w:customStyle="1" w:styleId="130">
    <w:name w:val="Стиль1.3"/>
    <w:basedOn w:val="3"/>
    <w:rsid w:val="003F39BC"/>
    <w:pPr>
      <w:suppressAutoHyphens/>
      <w:spacing w:before="240" w:after="60"/>
      <w:ind w:firstLine="720"/>
      <w:jc w:val="left"/>
    </w:pPr>
    <w:rPr>
      <w:rFonts w:ascii="Arial" w:hAnsi="Arial" w:cs="Arial"/>
      <w:b w:val="0"/>
      <w:i/>
      <w:sz w:val="26"/>
      <w:szCs w:val="26"/>
      <w:lang w:eastAsia="ar-SA"/>
    </w:rPr>
  </w:style>
  <w:style w:type="paragraph" w:customStyle="1" w:styleId="131">
    <w:name w:val="Заголовок 1.3."/>
    <w:basedOn w:val="3"/>
    <w:next w:val="3"/>
    <w:rsid w:val="003F39BC"/>
    <w:pPr>
      <w:suppressAutoHyphens/>
      <w:spacing w:before="240" w:after="60"/>
      <w:ind w:firstLine="720"/>
      <w:jc w:val="left"/>
    </w:pPr>
    <w:rPr>
      <w:rFonts w:ascii="Arial" w:hAnsi="Arial" w:cs="Arial"/>
      <w:b w:val="0"/>
      <w:i/>
      <w:sz w:val="26"/>
      <w:szCs w:val="26"/>
      <w:lang w:eastAsia="ar-SA"/>
    </w:rPr>
  </w:style>
  <w:style w:type="paragraph" w:customStyle="1" w:styleId="FR3">
    <w:name w:val="FR3"/>
    <w:rsid w:val="003F39BC"/>
    <w:pPr>
      <w:widowControl w:val="0"/>
      <w:suppressAutoHyphens/>
      <w:snapToGrid w:val="0"/>
      <w:spacing w:after="0" w:line="240" w:lineRule="auto"/>
    </w:pPr>
    <w:rPr>
      <w:rFonts w:ascii="Times New Roman" w:eastAsia="Arial" w:hAnsi="Times New Roman" w:cs="Times New Roman"/>
      <w:szCs w:val="20"/>
      <w:lang w:eastAsia="ar-SA"/>
    </w:rPr>
  </w:style>
  <w:style w:type="paragraph" w:customStyle="1" w:styleId="1c">
    <w:name w:val="Текст1"/>
    <w:basedOn w:val="15"/>
    <w:rsid w:val="003F39BC"/>
  </w:style>
  <w:style w:type="paragraph" w:customStyle="1" w:styleId="WW-0">
    <w:name w:val="WW-Текст"/>
    <w:basedOn w:val="a0"/>
    <w:rsid w:val="003F39BC"/>
    <w:pPr>
      <w:suppressAutoHyphens/>
      <w:spacing w:after="0" w:line="240" w:lineRule="auto"/>
    </w:pPr>
    <w:rPr>
      <w:rFonts w:ascii="Courier New" w:eastAsia="Times New Roman" w:hAnsi="Courier New" w:cs="Courier New"/>
      <w:sz w:val="20"/>
      <w:szCs w:val="20"/>
      <w:lang w:eastAsia="ar-SA"/>
    </w:rPr>
  </w:style>
  <w:style w:type="paragraph" w:customStyle="1" w:styleId="PEStylePara2">
    <w:name w:val="PEStylePara2"/>
    <w:basedOn w:val="a0"/>
    <w:next w:val="a0"/>
    <w:rsid w:val="003F39BC"/>
    <w:pPr>
      <w:keepNext/>
      <w:keepLines/>
      <w:suppressAutoHyphens/>
      <w:spacing w:after="0" w:line="240" w:lineRule="auto"/>
      <w:jc w:val="center"/>
    </w:pPr>
    <w:rPr>
      <w:rFonts w:ascii="Courier New" w:eastAsia="Times New Roman" w:hAnsi="Courier New" w:cs="Courier New"/>
      <w:sz w:val="20"/>
      <w:szCs w:val="20"/>
      <w:lang w:eastAsia="ar-SA"/>
    </w:rPr>
  </w:style>
  <w:style w:type="paragraph" w:customStyle="1" w:styleId="1d">
    <w:name w:val="Основной текст1"/>
    <w:basedOn w:val="1b"/>
    <w:rsid w:val="003F39BC"/>
    <w:pPr>
      <w:jc w:val="center"/>
    </w:pPr>
    <w:rPr>
      <w:sz w:val="36"/>
    </w:rPr>
  </w:style>
  <w:style w:type="paragraph" w:customStyle="1" w:styleId="H1">
    <w:name w:val="H1"/>
    <w:basedOn w:val="a0"/>
    <w:next w:val="a0"/>
    <w:rsid w:val="003F39BC"/>
    <w:pPr>
      <w:keepNext/>
      <w:suppressAutoHyphens/>
      <w:spacing w:before="100" w:after="100" w:line="240" w:lineRule="auto"/>
    </w:pPr>
    <w:rPr>
      <w:rFonts w:ascii="Times New Roman" w:eastAsia="Times New Roman" w:hAnsi="Times New Roman" w:cs="Times New Roman"/>
      <w:b/>
      <w:kern w:val="1"/>
      <w:sz w:val="48"/>
      <w:szCs w:val="20"/>
      <w:lang w:eastAsia="ar-SA"/>
    </w:rPr>
  </w:style>
  <w:style w:type="paragraph" w:customStyle="1" w:styleId="111">
    <w:name w:val="Заголовок 11"/>
    <w:basedOn w:val="1b"/>
    <w:next w:val="1d"/>
    <w:rsid w:val="003F39BC"/>
    <w:pPr>
      <w:keepNext/>
      <w:keepLines/>
      <w:pBdr>
        <w:top w:val="single" w:sz="4" w:space="6" w:color="808080"/>
        <w:bottom w:val="single" w:sz="4" w:space="6" w:color="808080"/>
      </w:pBdr>
      <w:spacing w:after="240" w:line="240" w:lineRule="atLeast"/>
      <w:jc w:val="center"/>
    </w:pPr>
    <w:rPr>
      <w:rFonts w:ascii="Garamond" w:hAnsi="Garamond"/>
      <w:b/>
      <w:caps/>
      <w:color w:val="auto"/>
      <w:spacing w:val="20"/>
      <w:kern w:val="1"/>
      <w:sz w:val="18"/>
    </w:rPr>
  </w:style>
  <w:style w:type="paragraph" w:customStyle="1" w:styleId="212">
    <w:name w:val="Список 21"/>
    <w:basedOn w:val="a0"/>
    <w:rsid w:val="003F39BC"/>
    <w:pPr>
      <w:widowControl w:val="0"/>
      <w:suppressAutoHyphens/>
      <w:autoSpaceDE w:val="0"/>
      <w:spacing w:before="40" w:after="0" w:line="240" w:lineRule="auto"/>
      <w:ind w:left="566" w:hanging="283"/>
    </w:pPr>
    <w:rPr>
      <w:rFonts w:ascii="Times New Roman" w:eastAsia="Times New Roman" w:hAnsi="Times New Roman" w:cs="Times New Roman"/>
      <w:lang w:eastAsia="ar-SA"/>
    </w:rPr>
  </w:style>
  <w:style w:type="paragraph" w:customStyle="1" w:styleId="312">
    <w:name w:val="Заголовок 31"/>
    <w:rsid w:val="003F39BC"/>
    <w:pPr>
      <w:widowControl w:val="0"/>
      <w:suppressAutoHyphens/>
      <w:autoSpaceDE w:val="0"/>
      <w:spacing w:before="240" w:after="40" w:line="240" w:lineRule="auto"/>
    </w:pPr>
    <w:rPr>
      <w:rFonts w:ascii="Times New Roman" w:eastAsia="Arial" w:hAnsi="Times New Roman" w:cs="Times New Roman"/>
      <w:b/>
      <w:bCs/>
      <w:lang w:eastAsia="ar-SA"/>
    </w:rPr>
  </w:style>
  <w:style w:type="paragraph" w:customStyle="1" w:styleId="220">
    <w:name w:val="Основной текст 22"/>
    <w:basedOn w:val="1b"/>
    <w:rsid w:val="003F39BC"/>
    <w:pPr>
      <w:ind w:left="720"/>
      <w:jc w:val="both"/>
    </w:pPr>
    <w:rPr>
      <w:rFonts w:ascii="Garamond" w:hAnsi="Garamond"/>
      <w:sz w:val="28"/>
    </w:rPr>
  </w:style>
  <w:style w:type="paragraph" w:customStyle="1" w:styleId="ConsNormal">
    <w:name w:val="ConsNormal"/>
    <w:rsid w:val="003F39BC"/>
    <w:pPr>
      <w:widowControl w:val="0"/>
      <w:suppressAutoHyphens/>
      <w:autoSpaceDE w:val="0"/>
      <w:spacing w:after="0" w:line="240" w:lineRule="auto"/>
      <w:ind w:firstLine="720"/>
    </w:pPr>
    <w:rPr>
      <w:rFonts w:ascii="Arial" w:eastAsia="Arial" w:hAnsi="Arial" w:cs="Arial"/>
      <w:sz w:val="20"/>
      <w:szCs w:val="20"/>
      <w:lang w:eastAsia="ar-SA"/>
    </w:rPr>
  </w:style>
  <w:style w:type="paragraph" w:customStyle="1" w:styleId="ConsNonformat">
    <w:name w:val="ConsNonformat"/>
    <w:rsid w:val="003F39BC"/>
    <w:pPr>
      <w:widowControl w:val="0"/>
      <w:suppressAutoHyphens/>
      <w:autoSpaceDE w:val="0"/>
      <w:spacing w:after="0" w:line="240" w:lineRule="auto"/>
    </w:pPr>
    <w:rPr>
      <w:rFonts w:ascii="Courier New" w:eastAsia="Arial" w:hAnsi="Courier New" w:cs="Courier New"/>
      <w:sz w:val="20"/>
      <w:szCs w:val="20"/>
      <w:lang w:eastAsia="ar-SA"/>
    </w:rPr>
  </w:style>
  <w:style w:type="paragraph" w:customStyle="1" w:styleId="lbs">
    <w:name w:val="lbs"/>
    <w:basedOn w:val="a0"/>
    <w:rsid w:val="003F39BC"/>
    <w:pPr>
      <w:suppressAutoHyphens/>
      <w:spacing w:before="280" w:after="280" w:line="240" w:lineRule="auto"/>
    </w:pPr>
    <w:rPr>
      <w:rFonts w:ascii="Tahoma" w:eastAsia="Times New Roman" w:hAnsi="Tahoma" w:cs="Tahoma"/>
      <w:b/>
      <w:bCs/>
      <w:color w:val="000000"/>
      <w:sz w:val="17"/>
      <w:szCs w:val="17"/>
      <w:lang w:eastAsia="ar-SA"/>
    </w:rPr>
  </w:style>
  <w:style w:type="paragraph" w:customStyle="1" w:styleId="xl24">
    <w:name w:val="xl24"/>
    <w:basedOn w:val="a0"/>
    <w:rsid w:val="003F39BC"/>
    <w:pPr>
      <w:pBdr>
        <w:left w:val="single" w:sz="4" w:space="0" w:color="000000"/>
        <w:bottom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25">
    <w:name w:val="xl25"/>
    <w:basedOn w:val="a0"/>
    <w:rsid w:val="003F39BC"/>
    <w:pPr>
      <w:pBdr>
        <w:left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6">
    <w:name w:val="xl26"/>
    <w:basedOn w:val="a0"/>
    <w:rsid w:val="003F39BC"/>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7">
    <w:name w:val="xl27"/>
    <w:basedOn w:val="a0"/>
    <w:rsid w:val="003F39BC"/>
    <w:pPr>
      <w:pBdr>
        <w:left w:val="single" w:sz="4" w:space="0" w:color="000000"/>
        <w:bottom w:val="single" w:sz="4" w:space="0" w:color="000000"/>
        <w:right w:val="single" w:sz="4" w:space="0" w:color="000000"/>
      </w:pBdr>
      <w:suppressAutoHyphens/>
      <w:spacing w:before="280" w:after="280" w:line="240" w:lineRule="auto"/>
    </w:pPr>
    <w:rPr>
      <w:rFonts w:ascii="Arial Unicode MS" w:eastAsia="Arial Unicode MS" w:hAnsi="Arial Unicode MS" w:cs="Arial Unicode MS"/>
      <w:sz w:val="24"/>
      <w:szCs w:val="24"/>
      <w:lang w:eastAsia="ar-SA"/>
    </w:rPr>
  </w:style>
  <w:style w:type="paragraph" w:customStyle="1" w:styleId="xl28">
    <w:name w:val="xl28"/>
    <w:basedOn w:val="a0"/>
    <w:rsid w:val="003F39BC"/>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29">
    <w:name w:val="xl29"/>
    <w:basedOn w:val="a0"/>
    <w:rsid w:val="003F39BC"/>
    <w:pPr>
      <w:pBdr>
        <w:left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1">
    <w:name w:val="xl31"/>
    <w:basedOn w:val="a0"/>
    <w:rsid w:val="003F39BC"/>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2">
    <w:name w:val="xl32"/>
    <w:basedOn w:val="a0"/>
    <w:rsid w:val="003F39BC"/>
    <w:pPr>
      <w:pBdr>
        <w:left w:val="single" w:sz="4" w:space="0" w:color="000000"/>
        <w:bottom w:val="single" w:sz="4" w:space="0" w:color="000000"/>
        <w:right w:val="single" w:sz="4" w:space="0" w:color="000000"/>
      </w:pBdr>
      <w:suppressAutoHyphens/>
      <w:spacing w:before="280" w:after="280" w:line="240" w:lineRule="auto"/>
      <w:jc w:val="center"/>
    </w:pPr>
    <w:rPr>
      <w:rFonts w:ascii="Arial Unicode MS" w:eastAsia="Arial Unicode MS" w:hAnsi="Arial Unicode MS" w:cs="Arial Unicode MS"/>
      <w:sz w:val="24"/>
      <w:szCs w:val="24"/>
      <w:lang w:eastAsia="ar-SA"/>
    </w:rPr>
  </w:style>
  <w:style w:type="paragraph" w:customStyle="1" w:styleId="xl33">
    <w:name w:val="xl33"/>
    <w:basedOn w:val="a0"/>
    <w:rsid w:val="003F39BC"/>
    <w:pPr>
      <w:pBdr>
        <w:left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4">
    <w:name w:val="xl34"/>
    <w:basedOn w:val="a0"/>
    <w:rsid w:val="003F39BC"/>
    <w:pPr>
      <w:pBdr>
        <w:left w:val="single" w:sz="4" w:space="0" w:color="000000"/>
        <w:bottom w:val="single" w:sz="4" w:space="0" w:color="000000"/>
        <w:right w:val="single" w:sz="4" w:space="0" w:color="000000"/>
      </w:pBdr>
      <w:suppressAutoHyphens/>
      <w:spacing w:before="280" w:after="280" w:line="240" w:lineRule="auto"/>
      <w:jc w:val="center"/>
      <w:textAlignment w:val="top"/>
    </w:pPr>
    <w:rPr>
      <w:rFonts w:ascii="Arial Unicode MS" w:eastAsia="Arial Unicode MS" w:hAnsi="Arial Unicode MS" w:cs="Arial Unicode MS"/>
      <w:sz w:val="24"/>
      <w:szCs w:val="24"/>
      <w:lang w:eastAsia="ar-SA"/>
    </w:rPr>
  </w:style>
  <w:style w:type="paragraph" w:customStyle="1" w:styleId="xl35">
    <w:name w:val="xl35"/>
    <w:basedOn w:val="a0"/>
    <w:rsid w:val="003F39BC"/>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6">
    <w:name w:val="xl36"/>
    <w:basedOn w:val="a0"/>
    <w:rsid w:val="003F39BC"/>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xl37">
    <w:name w:val="xl37"/>
    <w:basedOn w:val="a0"/>
    <w:rsid w:val="003F39BC"/>
    <w:pPr>
      <w:pBdr>
        <w:left w:val="single" w:sz="4" w:space="0" w:color="000000"/>
        <w:right w:val="single" w:sz="4" w:space="0" w:color="000000"/>
      </w:pBdr>
      <w:suppressAutoHyphens/>
      <w:spacing w:before="280" w:after="280" w:line="240" w:lineRule="auto"/>
      <w:textAlignment w:val="top"/>
    </w:pPr>
    <w:rPr>
      <w:rFonts w:ascii="Arial CYR" w:eastAsia="Arial Unicode MS" w:hAnsi="Arial CYR" w:cs="Arial CYR"/>
      <w:b/>
      <w:bCs/>
      <w:sz w:val="24"/>
      <w:szCs w:val="24"/>
      <w:lang w:eastAsia="ar-SA"/>
    </w:rPr>
  </w:style>
  <w:style w:type="paragraph" w:customStyle="1" w:styleId="xl38">
    <w:name w:val="xl38"/>
    <w:basedOn w:val="a0"/>
    <w:rsid w:val="003F39BC"/>
    <w:pPr>
      <w:pBdr>
        <w:left w:val="single" w:sz="4" w:space="0" w:color="000000"/>
        <w:right w:val="single" w:sz="4" w:space="0" w:color="000000"/>
      </w:pBdr>
      <w:suppressAutoHyphens/>
      <w:spacing w:before="280" w:after="280" w:line="240" w:lineRule="auto"/>
      <w:textAlignment w:val="top"/>
    </w:pPr>
    <w:rPr>
      <w:rFonts w:ascii="Arial Unicode MS" w:eastAsia="Arial Unicode MS" w:hAnsi="Arial Unicode MS" w:cs="Arial Unicode MS"/>
      <w:sz w:val="24"/>
      <w:szCs w:val="24"/>
      <w:lang w:eastAsia="ar-SA"/>
    </w:rPr>
  </w:style>
  <w:style w:type="paragraph" w:customStyle="1" w:styleId="affc">
    <w:name w:val="a"/>
    <w:basedOn w:val="a0"/>
    <w:rsid w:val="003F39BC"/>
    <w:pPr>
      <w:suppressAutoHyphens/>
      <w:spacing w:before="280" w:after="280" w:line="240" w:lineRule="auto"/>
    </w:pPr>
    <w:rPr>
      <w:rFonts w:ascii="Times New Roman" w:eastAsia="Times New Roman" w:hAnsi="Times New Roman" w:cs="Times New Roman"/>
      <w:sz w:val="24"/>
      <w:szCs w:val="24"/>
      <w:lang w:eastAsia="ar-SA"/>
    </w:rPr>
  </w:style>
  <w:style w:type="paragraph" w:customStyle="1" w:styleId="1e">
    <w:name w:val="Название объекта1"/>
    <w:basedOn w:val="a0"/>
    <w:next w:val="a0"/>
    <w:rsid w:val="003F39BC"/>
    <w:pPr>
      <w:suppressAutoHyphens/>
      <w:spacing w:after="0" w:line="240" w:lineRule="auto"/>
      <w:ind w:firstLine="720"/>
    </w:pPr>
    <w:rPr>
      <w:rFonts w:ascii="Times New Roman" w:eastAsia="Times New Roman" w:hAnsi="Times New Roman" w:cs="Times New Roman"/>
      <w:b/>
      <w:bCs/>
      <w:sz w:val="20"/>
      <w:szCs w:val="20"/>
      <w:lang w:eastAsia="ar-SA"/>
    </w:rPr>
  </w:style>
  <w:style w:type="paragraph" w:customStyle="1" w:styleId="BaseText2">
    <w:name w:val="BaseText2"/>
    <w:basedOn w:val="2"/>
    <w:rsid w:val="003F39BC"/>
    <w:pPr>
      <w:keepNext w:val="0"/>
      <w:suppressAutoHyphens/>
      <w:spacing w:before="120" w:line="360" w:lineRule="atLeast"/>
      <w:ind w:left="284"/>
    </w:pPr>
    <w:rPr>
      <w:rFonts w:ascii="Arial" w:hAnsi="Arial" w:cs="Arial"/>
      <w:b w:val="0"/>
      <w:bCs w:val="0"/>
      <w:sz w:val="24"/>
      <w:lang w:eastAsia="ar-SA"/>
    </w:rPr>
  </w:style>
  <w:style w:type="paragraph" w:customStyle="1" w:styleId="CharChar">
    <w:name w:val="Char Знак Знак Char Знак Знак Знак Знак Знак Знак Знак Знак Знак Знак Знак Знак Знак Знак Знак Знак"/>
    <w:basedOn w:val="a0"/>
    <w:rsid w:val="003F39BC"/>
    <w:pPr>
      <w:suppressAutoHyphens/>
      <w:spacing w:after="0" w:line="240" w:lineRule="auto"/>
    </w:pPr>
    <w:rPr>
      <w:rFonts w:ascii="Verdana" w:eastAsia="Times New Roman" w:hAnsi="Verdana" w:cs="Times New Roman"/>
      <w:sz w:val="20"/>
      <w:szCs w:val="20"/>
      <w:lang w:val="en-US" w:eastAsia="ar-SA"/>
    </w:rPr>
  </w:style>
  <w:style w:type="paragraph" w:customStyle="1" w:styleId="textblock">
    <w:name w:val="textblock"/>
    <w:basedOn w:val="a0"/>
    <w:rsid w:val="003F39BC"/>
    <w:pPr>
      <w:suppressAutoHyphens/>
      <w:spacing w:before="280" w:after="280" w:line="336" w:lineRule="atLeast"/>
    </w:pPr>
    <w:rPr>
      <w:rFonts w:ascii="Tahoma" w:eastAsia="Times New Roman" w:hAnsi="Tahoma" w:cs="Tahoma"/>
      <w:color w:val="262626"/>
      <w:sz w:val="21"/>
      <w:szCs w:val="21"/>
      <w:lang w:eastAsia="ar-SA"/>
    </w:rPr>
  </w:style>
  <w:style w:type="paragraph" w:customStyle="1" w:styleId="textblock1">
    <w:name w:val="textblock1"/>
    <w:basedOn w:val="a0"/>
    <w:rsid w:val="003F39BC"/>
    <w:pPr>
      <w:suppressAutoHyphens/>
      <w:spacing w:before="150" w:after="150" w:line="240" w:lineRule="auto"/>
    </w:pPr>
    <w:rPr>
      <w:rFonts w:ascii="Tahoma" w:eastAsia="Times New Roman" w:hAnsi="Tahoma" w:cs="Tahoma"/>
      <w:b/>
      <w:bCs/>
      <w:i/>
      <w:iCs/>
      <w:color w:val="262626"/>
      <w:sz w:val="21"/>
      <w:szCs w:val="21"/>
      <w:lang w:eastAsia="ar-SA"/>
    </w:rPr>
  </w:style>
  <w:style w:type="paragraph" w:customStyle="1" w:styleId="1f">
    <w:name w:val="Текст примечания1"/>
    <w:basedOn w:val="a0"/>
    <w:rsid w:val="003F39BC"/>
    <w:pPr>
      <w:suppressAutoHyphens/>
      <w:spacing w:after="0" w:line="240" w:lineRule="auto"/>
    </w:pPr>
    <w:rPr>
      <w:rFonts w:ascii="Times New Roman" w:eastAsia="Times New Roman" w:hAnsi="Times New Roman" w:cs="Times New Roman"/>
      <w:sz w:val="20"/>
      <w:szCs w:val="20"/>
      <w:lang w:eastAsia="ar-SA"/>
    </w:rPr>
  </w:style>
  <w:style w:type="paragraph" w:customStyle="1" w:styleId="just">
    <w:name w:val="just"/>
    <w:basedOn w:val="a0"/>
    <w:rsid w:val="003F39BC"/>
    <w:pPr>
      <w:suppressAutoHyphens/>
      <w:spacing w:before="120" w:after="120" w:line="240" w:lineRule="auto"/>
      <w:jc w:val="both"/>
    </w:pPr>
    <w:rPr>
      <w:rFonts w:ascii="Times New Roman" w:eastAsia="Times New Roman" w:hAnsi="Times New Roman" w:cs="Times New Roman"/>
      <w:sz w:val="16"/>
      <w:szCs w:val="16"/>
      <w:lang w:eastAsia="ar-SA"/>
    </w:rPr>
  </w:style>
  <w:style w:type="paragraph" w:customStyle="1" w:styleId="affd">
    <w:name w:val="Письмо"/>
    <w:basedOn w:val="a0"/>
    <w:rsid w:val="003F39BC"/>
    <w:pPr>
      <w:suppressAutoHyphens/>
      <w:autoSpaceDE w:val="0"/>
      <w:spacing w:after="0" w:line="320" w:lineRule="exact"/>
      <w:ind w:firstLine="720"/>
      <w:jc w:val="both"/>
    </w:pPr>
    <w:rPr>
      <w:rFonts w:ascii="Times New Roman" w:eastAsia="Times New Roman" w:hAnsi="Times New Roman" w:cs="Times New Roman"/>
      <w:sz w:val="28"/>
      <w:szCs w:val="28"/>
      <w:lang w:eastAsia="ar-SA"/>
    </w:rPr>
  </w:style>
  <w:style w:type="paragraph" w:customStyle="1" w:styleId="1f0">
    <w:name w:val="Стиль1"/>
    <w:basedOn w:val="1f1"/>
    <w:next w:val="212"/>
    <w:rsid w:val="003F39BC"/>
    <w:pPr>
      <w:tabs>
        <w:tab w:val="left" w:pos="5040"/>
        <w:tab w:val="left" w:pos="6000"/>
        <w:tab w:val="right" w:leader="dot" w:pos="10506"/>
        <w:tab w:val="right" w:leader="dot" w:pos="11226"/>
        <w:tab w:val="right" w:leader="dot" w:pos="11946"/>
        <w:tab w:val="right" w:leader="dot" w:pos="12666"/>
        <w:tab w:val="right" w:leader="dot" w:pos="13386"/>
        <w:tab w:val="right" w:leader="dot" w:pos="13947"/>
        <w:tab w:val="right" w:pos="18880"/>
      </w:tabs>
      <w:spacing w:before="360"/>
      <w:ind w:left="720" w:hanging="360"/>
    </w:pPr>
    <w:rPr>
      <w:rFonts w:ascii="Tahoma" w:hAnsi="Tahoma" w:cs="Tahoma"/>
      <w:b w:val="0"/>
      <w:bCs w:val="0"/>
      <w:i/>
      <w:iCs w:val="0"/>
      <w:caps/>
      <w:sz w:val="28"/>
      <w:szCs w:val="28"/>
    </w:rPr>
  </w:style>
  <w:style w:type="paragraph" w:styleId="1f1">
    <w:name w:val="toc 1"/>
    <w:basedOn w:val="a0"/>
    <w:next w:val="a0"/>
    <w:autoRedefine/>
    <w:uiPriority w:val="39"/>
    <w:rsid w:val="003F311E"/>
    <w:pPr>
      <w:tabs>
        <w:tab w:val="right" w:leader="dot" w:pos="9786"/>
      </w:tabs>
      <w:suppressAutoHyphens/>
      <w:spacing w:after="0" w:line="240" w:lineRule="auto"/>
      <w:jc w:val="both"/>
    </w:pPr>
    <w:rPr>
      <w:rFonts w:ascii="Times New Roman" w:eastAsia="Times New Roman" w:hAnsi="Times New Roman" w:cs="Times New Roman"/>
      <w:b/>
      <w:bCs/>
      <w:iCs/>
      <w:noProof/>
      <w:sz w:val="26"/>
      <w:szCs w:val="24"/>
      <w:lang w:eastAsia="ar-SA"/>
    </w:rPr>
  </w:style>
  <w:style w:type="paragraph" w:customStyle="1" w:styleId="prilozhenieglava">
    <w:name w:val="prilozhenie glava"/>
    <w:basedOn w:val="a0"/>
    <w:rsid w:val="003F39BC"/>
    <w:pPr>
      <w:suppressAutoHyphens/>
      <w:spacing w:before="240" w:after="240" w:line="240" w:lineRule="auto"/>
      <w:jc w:val="center"/>
    </w:pPr>
    <w:rPr>
      <w:rFonts w:ascii="Times New Roman" w:eastAsia="Times New Roman" w:hAnsi="Times New Roman" w:cs="Times New Roman"/>
      <w:b/>
      <w:bCs/>
      <w:caps/>
      <w:sz w:val="24"/>
      <w:szCs w:val="24"/>
      <w:lang w:eastAsia="ar-SA"/>
    </w:rPr>
  </w:style>
  <w:style w:type="paragraph" w:customStyle="1" w:styleId="BCTitle">
    <w:name w:val="BC Title"/>
    <w:basedOn w:val="a0"/>
    <w:next w:val="a0"/>
    <w:rsid w:val="003F39BC"/>
    <w:pPr>
      <w:suppressAutoHyphens/>
      <w:spacing w:before="60" w:after="60" w:line="240" w:lineRule="auto"/>
      <w:jc w:val="center"/>
    </w:pPr>
    <w:rPr>
      <w:rFonts w:ascii="Arial" w:eastAsia="Times New Roman" w:hAnsi="Arial" w:cs="Arial"/>
      <w:b/>
      <w:kern w:val="1"/>
      <w:sz w:val="44"/>
      <w:szCs w:val="24"/>
      <w:lang w:eastAsia="ar-SA"/>
    </w:rPr>
  </w:style>
  <w:style w:type="paragraph" w:customStyle="1" w:styleId="MainTXT">
    <w:name w:val="MainTXT"/>
    <w:basedOn w:val="a0"/>
    <w:rsid w:val="003F39BC"/>
    <w:pPr>
      <w:widowControl w:val="0"/>
      <w:suppressAutoHyphens/>
      <w:spacing w:after="0" w:line="360" w:lineRule="auto"/>
      <w:ind w:left="142" w:firstLine="709"/>
      <w:jc w:val="both"/>
    </w:pPr>
    <w:rPr>
      <w:rFonts w:ascii="Arial" w:eastAsia="Times New Roman" w:hAnsi="Arial" w:cs="Times New Roman"/>
      <w:sz w:val="24"/>
      <w:szCs w:val="20"/>
      <w:lang w:eastAsia="ar-SA"/>
    </w:rPr>
  </w:style>
  <w:style w:type="paragraph" w:customStyle="1" w:styleId="FMainTXT">
    <w:name w:val="FMainTXT"/>
    <w:basedOn w:val="a0"/>
    <w:rsid w:val="003F39BC"/>
    <w:pPr>
      <w:suppressAutoHyphens/>
      <w:spacing w:before="120" w:after="0" w:line="360" w:lineRule="auto"/>
      <w:ind w:left="142" w:firstLine="709"/>
      <w:jc w:val="both"/>
    </w:pPr>
    <w:rPr>
      <w:rFonts w:ascii="Arial" w:eastAsia="Times New Roman" w:hAnsi="Arial" w:cs="Times New Roman"/>
      <w:sz w:val="24"/>
      <w:szCs w:val="20"/>
      <w:lang w:eastAsia="ar-SA"/>
    </w:rPr>
  </w:style>
  <w:style w:type="paragraph" w:customStyle="1" w:styleId="27">
    <w:name w:val="Знак2"/>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affe">
    <w:name w:val="Знак Знак Знак Знак Знак Знак"/>
    <w:basedOn w:val="a0"/>
    <w:next w:val="1"/>
    <w:rsid w:val="003F39BC"/>
    <w:pPr>
      <w:suppressAutoHyphens/>
      <w:spacing w:after="160" w:line="240" w:lineRule="exact"/>
      <w:jc w:val="both"/>
    </w:pPr>
    <w:rPr>
      <w:rFonts w:ascii="Verdana" w:eastAsia="Times New Roman" w:hAnsi="Verdana" w:cs="Times New Roman"/>
      <w:sz w:val="20"/>
      <w:szCs w:val="20"/>
      <w:lang w:val="en-US" w:eastAsia="ar-SA"/>
    </w:rPr>
  </w:style>
  <w:style w:type="paragraph" w:styleId="afff">
    <w:name w:val="No Spacing"/>
    <w:link w:val="afff0"/>
    <w:uiPriority w:val="1"/>
    <w:qFormat/>
    <w:rsid w:val="003F39BC"/>
    <w:pPr>
      <w:suppressAutoHyphens/>
      <w:spacing w:after="0" w:line="240" w:lineRule="auto"/>
    </w:pPr>
    <w:rPr>
      <w:rFonts w:ascii="Calibri" w:eastAsia="Calibri" w:hAnsi="Calibri" w:cs="Times New Roman"/>
      <w:lang w:eastAsia="ar-SA"/>
    </w:rPr>
  </w:style>
  <w:style w:type="paragraph" w:customStyle="1" w:styleId="ac0">
    <w:name w:val="ac"/>
    <w:basedOn w:val="a0"/>
    <w:rsid w:val="003F39BC"/>
    <w:pPr>
      <w:suppressAutoHyphens/>
      <w:spacing w:before="280" w:after="280" w:line="240" w:lineRule="auto"/>
      <w:jc w:val="center"/>
    </w:pPr>
    <w:rPr>
      <w:rFonts w:ascii="Verdana" w:eastAsia="Arial Unicode MS" w:hAnsi="Verdana" w:cs="Arial Unicode MS"/>
      <w:color w:val="000000"/>
      <w:sz w:val="20"/>
      <w:szCs w:val="20"/>
      <w:lang w:eastAsia="ar-SA"/>
    </w:rPr>
  </w:style>
  <w:style w:type="paragraph" w:customStyle="1" w:styleId="afff1">
    <w:name w:val="Нумерованный )"/>
    <w:basedOn w:val="a0"/>
    <w:rsid w:val="003F39BC"/>
    <w:pPr>
      <w:suppressAutoHyphens/>
      <w:spacing w:after="0" w:line="240" w:lineRule="auto"/>
      <w:ind w:left="-709"/>
      <w:jc w:val="both"/>
    </w:pPr>
    <w:rPr>
      <w:rFonts w:ascii="Arial" w:eastAsia="Times New Roman" w:hAnsi="Arial" w:cs="Times New Roman"/>
      <w:sz w:val="24"/>
      <w:szCs w:val="28"/>
      <w:lang w:eastAsia="ar-SA"/>
    </w:rPr>
  </w:style>
  <w:style w:type="paragraph" w:customStyle="1" w:styleId="Header3">
    <w:name w:val="Header 3"/>
    <w:basedOn w:val="a0"/>
    <w:next w:val="a0"/>
    <w:rsid w:val="003F39BC"/>
    <w:pPr>
      <w:keepLines/>
      <w:suppressAutoHyphens/>
      <w:spacing w:before="80" w:after="80" w:line="240" w:lineRule="auto"/>
    </w:pPr>
    <w:rPr>
      <w:rFonts w:ascii="Futura Bk" w:eastAsia="Times New Roman" w:hAnsi="Futura Bk" w:cs="Times New Roman"/>
      <w:sz w:val="20"/>
      <w:szCs w:val="20"/>
      <w:lang w:val="en-US" w:eastAsia="ar-SA"/>
    </w:rPr>
  </w:style>
  <w:style w:type="paragraph" w:customStyle="1" w:styleId="afff2">
    <w:name w:val="Стиль начало"/>
    <w:basedOn w:val="a0"/>
    <w:rsid w:val="003F39BC"/>
    <w:pPr>
      <w:suppressAutoHyphens/>
      <w:spacing w:after="0" w:line="264" w:lineRule="auto"/>
    </w:pPr>
    <w:rPr>
      <w:rFonts w:ascii="Times New Roman" w:eastAsia="Times New Roman" w:hAnsi="Times New Roman" w:cs="Times New Roman"/>
      <w:sz w:val="28"/>
      <w:szCs w:val="24"/>
      <w:lang w:eastAsia="ar-SA"/>
    </w:rPr>
  </w:style>
  <w:style w:type="paragraph" w:customStyle="1" w:styleId="1f2">
    <w:name w:val="Знак1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prilozhenie">
    <w:name w:val="prilozhenie"/>
    <w:basedOn w:val="a0"/>
    <w:rsid w:val="003F39BC"/>
    <w:pPr>
      <w:suppressAutoHyphens/>
      <w:spacing w:after="0" w:line="240" w:lineRule="auto"/>
      <w:ind w:firstLine="709"/>
      <w:jc w:val="both"/>
    </w:pPr>
    <w:rPr>
      <w:rFonts w:ascii="Times New Roman" w:eastAsia="Times New Roman" w:hAnsi="Times New Roman" w:cs="Times New Roman"/>
      <w:sz w:val="24"/>
      <w:szCs w:val="24"/>
      <w:lang w:eastAsia="ar-SA"/>
    </w:rPr>
  </w:style>
  <w:style w:type="paragraph" w:customStyle="1" w:styleId="Style4">
    <w:name w:val="Style4"/>
    <w:basedOn w:val="a0"/>
    <w:rsid w:val="003F39BC"/>
    <w:pPr>
      <w:tabs>
        <w:tab w:val="left" w:pos="2160"/>
      </w:tabs>
      <w:suppressAutoHyphens/>
      <w:autoSpaceDE w:val="0"/>
      <w:spacing w:after="0" w:line="240" w:lineRule="auto"/>
      <w:ind w:firstLine="709"/>
      <w:jc w:val="both"/>
    </w:pPr>
    <w:rPr>
      <w:rFonts w:ascii="Courier New" w:eastAsia="Times New Roman" w:hAnsi="Courier New" w:cs="Courier New"/>
      <w:b/>
      <w:bCs/>
      <w:sz w:val="24"/>
      <w:szCs w:val="24"/>
      <w:lang w:eastAsia="ar-SA"/>
    </w:rPr>
  </w:style>
  <w:style w:type="paragraph" w:customStyle="1" w:styleId="afff3">
    <w:name w:val="Текст раздела"/>
    <w:basedOn w:val="a0"/>
    <w:rsid w:val="003F39BC"/>
    <w:pPr>
      <w:widowControl w:val="0"/>
      <w:suppressAutoHyphens/>
      <w:autoSpaceDE w:val="0"/>
      <w:spacing w:after="0" w:line="240" w:lineRule="auto"/>
      <w:ind w:firstLine="567"/>
      <w:jc w:val="both"/>
    </w:pPr>
    <w:rPr>
      <w:rFonts w:ascii="Courier New" w:eastAsia="Times New Roman" w:hAnsi="Courier New" w:cs="Courier New"/>
      <w:b/>
      <w:bCs/>
      <w:i/>
      <w:iCs/>
      <w:sz w:val="20"/>
      <w:szCs w:val="20"/>
      <w:lang w:eastAsia="ar-SA"/>
    </w:rPr>
  </w:style>
  <w:style w:type="paragraph" w:customStyle="1" w:styleId="afff4">
    <w:name w:val="Основной стиль текстовки"/>
    <w:basedOn w:val="a0"/>
    <w:rsid w:val="003F39BC"/>
    <w:pPr>
      <w:widowControl w:val="0"/>
      <w:suppressAutoHyphens/>
      <w:autoSpaceDE w:val="0"/>
      <w:spacing w:after="0" w:line="240" w:lineRule="auto"/>
      <w:ind w:firstLine="567"/>
      <w:jc w:val="both"/>
    </w:pPr>
    <w:rPr>
      <w:rFonts w:ascii="Courier New" w:eastAsia="Times New Roman" w:hAnsi="Courier New" w:cs="Courier New"/>
      <w:sz w:val="20"/>
      <w:szCs w:val="20"/>
      <w:lang w:eastAsia="ar-SA"/>
    </w:rPr>
  </w:style>
  <w:style w:type="paragraph" w:customStyle="1" w:styleId="BodyTextbt">
    <w:name w:val="Body Text.bt"/>
    <w:rsid w:val="003F39BC"/>
    <w:pPr>
      <w:suppressAutoHyphens/>
      <w:spacing w:after="0" w:line="240" w:lineRule="auto"/>
      <w:jc w:val="both"/>
    </w:pPr>
    <w:rPr>
      <w:rFonts w:ascii="Times New Roman" w:eastAsia="Arial" w:hAnsi="Times New Roman" w:cs="Times New Roman"/>
      <w:b/>
      <w:bCs/>
      <w:i/>
      <w:iCs/>
      <w:lang w:eastAsia="ar-SA"/>
    </w:rPr>
  </w:style>
  <w:style w:type="paragraph" w:customStyle="1" w:styleId="1f3">
    <w:name w:val="1 Знак"/>
    <w:basedOn w:val="a0"/>
    <w:rsid w:val="003F39BC"/>
    <w:pPr>
      <w:tabs>
        <w:tab w:val="left" w:pos="7483"/>
      </w:tabs>
      <w:suppressAutoHyphens/>
      <w:spacing w:after="160" w:line="240" w:lineRule="exact"/>
      <w:ind w:left="1069" w:hanging="360"/>
      <w:jc w:val="both"/>
    </w:pPr>
    <w:rPr>
      <w:rFonts w:ascii="Verdana" w:eastAsia="Times New Roman" w:hAnsi="Verdana" w:cs="Arial"/>
      <w:sz w:val="20"/>
      <w:szCs w:val="20"/>
      <w:lang w:val="en-US" w:eastAsia="ar-SA"/>
    </w:rPr>
  </w:style>
  <w:style w:type="paragraph" w:customStyle="1" w:styleId="1f4">
    <w:name w:val="Схема документа1"/>
    <w:basedOn w:val="a0"/>
    <w:rsid w:val="003F39BC"/>
    <w:pPr>
      <w:shd w:val="clear" w:color="auto" w:fill="000080"/>
      <w:suppressAutoHyphens/>
      <w:spacing w:after="0" w:line="240" w:lineRule="auto"/>
    </w:pPr>
    <w:rPr>
      <w:rFonts w:ascii="Tahoma" w:eastAsia="Times New Roman" w:hAnsi="Tahoma" w:cs="Tahoma"/>
      <w:sz w:val="20"/>
      <w:szCs w:val="20"/>
      <w:lang w:eastAsia="ar-SA"/>
    </w:rPr>
  </w:style>
  <w:style w:type="paragraph" w:customStyle="1" w:styleId="afff5">
    <w:name w:val="Îñíîâíîé òåêñò"/>
    <w:basedOn w:val="a0"/>
    <w:rsid w:val="003F39BC"/>
    <w:pPr>
      <w:widowControl w:val="0"/>
      <w:tabs>
        <w:tab w:val="left" w:pos="709"/>
      </w:tabs>
      <w:suppressAutoHyphens/>
      <w:spacing w:after="0" w:line="240" w:lineRule="auto"/>
      <w:jc w:val="both"/>
    </w:pPr>
    <w:rPr>
      <w:rFonts w:ascii="a_FuturaOrto" w:eastAsia="Times New Roman" w:hAnsi="a_FuturaOrto" w:cs="Times New Roman"/>
      <w:color w:val="000000"/>
      <w:sz w:val="24"/>
      <w:szCs w:val="20"/>
      <w:lang w:eastAsia="ar-SA"/>
    </w:rPr>
  </w:style>
  <w:style w:type="paragraph" w:customStyle="1" w:styleId="61">
    <w:name w:val="Знак6"/>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ThinDelim">
    <w:name w:val="Thin Delim"/>
    <w:rsid w:val="003F39BC"/>
    <w:pPr>
      <w:widowControl w:val="0"/>
      <w:suppressAutoHyphens/>
      <w:autoSpaceDE w:val="0"/>
      <w:spacing w:after="0" w:line="240" w:lineRule="auto"/>
    </w:pPr>
    <w:rPr>
      <w:rFonts w:ascii="Times New Roman" w:eastAsia="Arial" w:hAnsi="Times New Roman" w:cs="Times New Roman"/>
      <w:sz w:val="16"/>
      <w:szCs w:val="16"/>
      <w:lang w:eastAsia="ar-SA"/>
    </w:rPr>
  </w:style>
  <w:style w:type="paragraph" w:customStyle="1" w:styleId="1f5">
    <w:name w:val="Знак1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afff6">
    <w:name w:val="Решение само Знак"/>
    <w:basedOn w:val="a0"/>
    <w:rsid w:val="003F39BC"/>
    <w:pPr>
      <w:widowControl w:val="0"/>
      <w:suppressAutoHyphens/>
      <w:spacing w:after="0" w:line="240" w:lineRule="auto"/>
      <w:jc w:val="both"/>
    </w:pPr>
    <w:rPr>
      <w:rFonts w:ascii="Times New Roman" w:eastAsia="Times New Roman" w:hAnsi="Times New Roman" w:cs="Times New Roman"/>
      <w:sz w:val="28"/>
      <w:szCs w:val="28"/>
      <w:lang w:eastAsia="ar-SA"/>
    </w:rPr>
  </w:style>
  <w:style w:type="paragraph" w:customStyle="1" w:styleId="xl123">
    <w:name w:val="xl123"/>
    <w:basedOn w:val="a0"/>
    <w:rsid w:val="003F39BC"/>
    <w:pPr>
      <w:pBdr>
        <w:top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sz w:val="24"/>
      <w:szCs w:val="24"/>
      <w:lang w:eastAsia="ar-SA"/>
    </w:rPr>
  </w:style>
  <w:style w:type="paragraph" w:customStyle="1" w:styleId="consplusnormal0">
    <w:name w:val="consplusnormal"/>
    <w:basedOn w:val="a0"/>
    <w:rsid w:val="003F39BC"/>
    <w:pPr>
      <w:suppressAutoHyphens/>
      <w:spacing w:before="280" w:after="280" w:line="240" w:lineRule="auto"/>
    </w:pPr>
    <w:rPr>
      <w:rFonts w:ascii="Times New Roman" w:eastAsia="Calibri" w:hAnsi="Times New Roman" w:cs="Times New Roman"/>
      <w:sz w:val="24"/>
      <w:szCs w:val="24"/>
      <w:lang w:eastAsia="ar-SA"/>
    </w:rPr>
  </w:style>
  <w:style w:type="paragraph" w:customStyle="1" w:styleId="1f6">
    <w:name w:val="Знак Знак Знак1 Знак Знак Знак Знак Знак Знак Знак Знак Знак Знак"/>
    <w:basedOn w:val="a0"/>
    <w:rsid w:val="003F39BC"/>
    <w:pPr>
      <w:suppressAutoHyphens/>
      <w:spacing w:after="160" w:line="240" w:lineRule="exact"/>
    </w:pPr>
    <w:rPr>
      <w:rFonts w:ascii="Verdana" w:eastAsia="Times New Roman" w:hAnsi="Verdana" w:cs="Times New Roman"/>
      <w:sz w:val="20"/>
      <w:szCs w:val="20"/>
      <w:lang w:val="en-US" w:eastAsia="ar-SA"/>
    </w:rPr>
  </w:style>
  <w:style w:type="paragraph" w:customStyle="1" w:styleId="313">
    <w:name w:val="Список 31"/>
    <w:basedOn w:val="a0"/>
    <w:rsid w:val="003F39BC"/>
    <w:pPr>
      <w:suppressAutoHyphens/>
      <w:spacing w:after="0" w:line="240" w:lineRule="auto"/>
      <w:ind w:left="849" w:hanging="283"/>
    </w:pPr>
    <w:rPr>
      <w:rFonts w:ascii="Times New Roman" w:eastAsia="Times New Roman" w:hAnsi="Times New Roman" w:cs="Times New Roman"/>
      <w:sz w:val="24"/>
      <w:szCs w:val="24"/>
      <w:lang w:eastAsia="ar-SA"/>
    </w:rPr>
  </w:style>
  <w:style w:type="paragraph" w:customStyle="1" w:styleId="afff7">
    <w:name w:val="Содержимое врезки"/>
    <w:basedOn w:val="a8"/>
    <w:rsid w:val="003F39BC"/>
    <w:pPr>
      <w:suppressAutoHyphens/>
    </w:pPr>
    <w:rPr>
      <w:lang w:eastAsia="ar-SA"/>
    </w:rPr>
  </w:style>
  <w:style w:type="paragraph" w:customStyle="1" w:styleId="afff8">
    <w:name w:val="Содержимое таблицы"/>
    <w:basedOn w:val="a0"/>
    <w:rsid w:val="003F39BC"/>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afff9">
    <w:name w:val="Заголовок таблицы"/>
    <w:basedOn w:val="afff8"/>
    <w:rsid w:val="003F39BC"/>
    <w:pPr>
      <w:jc w:val="center"/>
    </w:pPr>
    <w:rPr>
      <w:b/>
      <w:bCs/>
    </w:rPr>
  </w:style>
  <w:style w:type="paragraph" w:styleId="afffa">
    <w:name w:val="List"/>
    <w:basedOn w:val="a0"/>
    <w:rsid w:val="003F39BC"/>
    <w:pPr>
      <w:suppressAutoHyphens/>
      <w:spacing w:after="0" w:line="240" w:lineRule="auto"/>
      <w:ind w:left="283" w:hanging="283"/>
    </w:pPr>
    <w:rPr>
      <w:rFonts w:ascii="Times New Roman" w:eastAsia="Times New Roman" w:hAnsi="Times New Roman" w:cs="Times New Roman"/>
      <w:sz w:val="24"/>
      <w:szCs w:val="20"/>
      <w:lang w:eastAsia="ar-SA"/>
    </w:rPr>
  </w:style>
  <w:style w:type="paragraph" w:styleId="afffb">
    <w:name w:val="Normal (Web)"/>
    <w:basedOn w:val="a0"/>
    <w:uiPriority w:val="99"/>
    <w:rsid w:val="003F39BC"/>
    <w:pPr>
      <w:suppressAutoHyphens/>
      <w:spacing w:before="280" w:after="280" w:line="240" w:lineRule="auto"/>
    </w:pPr>
    <w:rPr>
      <w:rFonts w:ascii="Times New Roman" w:eastAsia="Times New Roman" w:hAnsi="Times New Roman" w:cs="Times New Roman"/>
      <w:sz w:val="24"/>
      <w:szCs w:val="24"/>
      <w:lang w:eastAsia="ar-SA"/>
    </w:rPr>
  </w:style>
  <w:style w:type="paragraph" w:styleId="35">
    <w:name w:val="Body Text 3"/>
    <w:basedOn w:val="a0"/>
    <w:link w:val="36"/>
    <w:rsid w:val="003F39BC"/>
    <w:pPr>
      <w:snapToGrid w:val="0"/>
      <w:spacing w:after="0" w:line="240" w:lineRule="auto"/>
      <w:jc w:val="both"/>
    </w:pPr>
    <w:rPr>
      <w:rFonts w:ascii="Times New Roman" w:eastAsia="Times New Roman" w:hAnsi="Times New Roman" w:cs="Times New Roman"/>
      <w:bCs/>
      <w:sz w:val="24"/>
      <w:szCs w:val="24"/>
      <w:lang w:eastAsia="ru-RU"/>
    </w:rPr>
  </w:style>
  <w:style w:type="character" w:customStyle="1" w:styleId="36">
    <w:name w:val="Основной текст 3 Знак"/>
    <w:basedOn w:val="a1"/>
    <w:link w:val="35"/>
    <w:rsid w:val="003F39BC"/>
    <w:rPr>
      <w:rFonts w:ascii="Times New Roman" w:eastAsia="Times New Roman" w:hAnsi="Times New Roman" w:cs="Times New Roman"/>
      <w:bCs/>
      <w:sz w:val="24"/>
      <w:szCs w:val="24"/>
      <w:lang w:eastAsia="ru-RU"/>
    </w:rPr>
  </w:style>
  <w:style w:type="paragraph" w:styleId="afffc">
    <w:name w:val="Document Map"/>
    <w:basedOn w:val="a0"/>
    <w:link w:val="afffd"/>
    <w:rsid w:val="003F39BC"/>
    <w:pPr>
      <w:shd w:val="clear" w:color="auto" w:fill="000080"/>
      <w:spacing w:after="0" w:line="240" w:lineRule="auto"/>
    </w:pPr>
    <w:rPr>
      <w:rFonts w:ascii="Tahoma" w:eastAsia="Times New Roman" w:hAnsi="Tahoma" w:cs="Tahoma"/>
      <w:sz w:val="20"/>
      <w:szCs w:val="20"/>
      <w:lang w:eastAsia="ru-RU"/>
    </w:rPr>
  </w:style>
  <w:style w:type="character" w:customStyle="1" w:styleId="afffd">
    <w:name w:val="Схема документа Знак"/>
    <w:basedOn w:val="a1"/>
    <w:link w:val="afffc"/>
    <w:rsid w:val="003F39BC"/>
    <w:rPr>
      <w:rFonts w:ascii="Tahoma" w:eastAsia="Times New Roman" w:hAnsi="Tahoma" w:cs="Tahoma"/>
      <w:sz w:val="20"/>
      <w:szCs w:val="20"/>
      <w:shd w:val="clear" w:color="auto" w:fill="000080"/>
      <w:lang w:eastAsia="ru-RU"/>
    </w:rPr>
  </w:style>
  <w:style w:type="numbering" w:customStyle="1" w:styleId="1f7">
    <w:name w:val="Нет списка1"/>
    <w:next w:val="a3"/>
    <w:uiPriority w:val="99"/>
    <w:semiHidden/>
    <w:unhideWhenUsed/>
    <w:rsid w:val="003F39BC"/>
  </w:style>
  <w:style w:type="character" w:customStyle="1" w:styleId="WW8Num25z3">
    <w:name w:val="WW8Num25z3"/>
    <w:rsid w:val="003F39BC"/>
    <w:rPr>
      <w:rFonts w:ascii="Symbol" w:hAnsi="Symbol"/>
    </w:rPr>
  </w:style>
  <w:style w:type="character" w:styleId="afffe">
    <w:name w:val="Strong"/>
    <w:qFormat/>
    <w:rsid w:val="003F39BC"/>
    <w:rPr>
      <w:b/>
      <w:bCs/>
    </w:rPr>
  </w:style>
  <w:style w:type="numbering" w:customStyle="1" w:styleId="28">
    <w:name w:val="Нет списка2"/>
    <w:next w:val="a3"/>
    <w:uiPriority w:val="99"/>
    <w:semiHidden/>
    <w:unhideWhenUsed/>
    <w:rsid w:val="003F39BC"/>
  </w:style>
  <w:style w:type="paragraph" w:styleId="37">
    <w:name w:val="toc 3"/>
    <w:basedOn w:val="a0"/>
    <w:next w:val="a0"/>
    <w:autoRedefine/>
    <w:uiPriority w:val="39"/>
    <w:rsid w:val="003F39BC"/>
    <w:pPr>
      <w:tabs>
        <w:tab w:val="right" w:leader="dot" w:pos="0"/>
      </w:tabs>
      <w:spacing w:after="0" w:line="240" w:lineRule="auto"/>
    </w:pPr>
    <w:rPr>
      <w:rFonts w:ascii="Times New Roman" w:eastAsia="MS Mincho" w:hAnsi="Times New Roman" w:cs="Times New Roman"/>
      <w:noProof/>
      <w:sz w:val="24"/>
      <w:szCs w:val="24"/>
      <w:lang w:eastAsia="ru-RU"/>
    </w:rPr>
  </w:style>
  <w:style w:type="paragraph" w:customStyle="1" w:styleId="hd">
    <w:name w:val="Верхний колонтитул.hd"/>
    <w:basedOn w:val="a0"/>
    <w:rsid w:val="003F39BC"/>
    <w:pPr>
      <w:widowControl w:val="0"/>
      <w:tabs>
        <w:tab w:val="center" w:pos="4153"/>
        <w:tab w:val="right" w:pos="8306"/>
      </w:tabs>
      <w:autoSpaceDE w:val="0"/>
      <w:autoSpaceDN w:val="0"/>
      <w:spacing w:before="40" w:after="0" w:line="240" w:lineRule="auto"/>
      <w:ind w:left="200"/>
    </w:pPr>
    <w:rPr>
      <w:rFonts w:ascii="Times New Roman" w:eastAsia="Times New Roman" w:hAnsi="Times New Roman" w:cs="Times New Roman"/>
      <w:lang w:eastAsia="ru-RU"/>
    </w:rPr>
  </w:style>
  <w:style w:type="paragraph" w:styleId="affff">
    <w:name w:val="Title"/>
    <w:basedOn w:val="a0"/>
    <w:link w:val="affff0"/>
    <w:qFormat/>
    <w:rsid w:val="003F39BC"/>
    <w:pPr>
      <w:spacing w:after="0" w:line="240" w:lineRule="auto"/>
      <w:jc w:val="center"/>
    </w:pPr>
    <w:rPr>
      <w:rFonts w:ascii="Times New Roman" w:eastAsia="Times New Roman" w:hAnsi="Times New Roman" w:cs="Times New Roman"/>
      <w:b/>
      <w:sz w:val="20"/>
      <w:szCs w:val="20"/>
      <w:lang w:eastAsia="ru-RU"/>
    </w:rPr>
  </w:style>
  <w:style w:type="character" w:customStyle="1" w:styleId="affff0">
    <w:name w:val="Заголовок Знак"/>
    <w:basedOn w:val="a1"/>
    <w:link w:val="affff"/>
    <w:rsid w:val="003F39BC"/>
    <w:rPr>
      <w:rFonts w:ascii="Times New Roman" w:eastAsia="Times New Roman" w:hAnsi="Times New Roman" w:cs="Times New Roman"/>
      <w:b/>
      <w:sz w:val="20"/>
      <w:szCs w:val="20"/>
      <w:lang w:eastAsia="ru-RU"/>
    </w:rPr>
  </w:style>
  <w:style w:type="paragraph" w:styleId="affff1">
    <w:name w:val="Plain Text"/>
    <w:aliases w:val="Текст Знак Знак Знак Знак Знак Знак Знак Знак Знак Знак"/>
    <w:basedOn w:val="a0"/>
    <w:link w:val="1f8"/>
    <w:rsid w:val="003F39BC"/>
    <w:pPr>
      <w:autoSpaceDE w:val="0"/>
      <w:autoSpaceDN w:val="0"/>
      <w:spacing w:after="0" w:line="240" w:lineRule="auto"/>
    </w:pPr>
    <w:rPr>
      <w:rFonts w:ascii="Courier New" w:eastAsia="Times New Roman" w:hAnsi="Courier New" w:cs="Courier New"/>
      <w:sz w:val="20"/>
      <w:szCs w:val="20"/>
      <w:lang w:eastAsia="ru-RU"/>
    </w:rPr>
  </w:style>
  <w:style w:type="character" w:customStyle="1" w:styleId="1f8">
    <w:name w:val="Текст Знак1"/>
    <w:aliases w:val="Текст Знак Знак Знак Знак Знак Знак Знак Знак Знак Знак Знак"/>
    <w:basedOn w:val="a1"/>
    <w:link w:val="affff1"/>
    <w:rsid w:val="003F39BC"/>
    <w:rPr>
      <w:rFonts w:ascii="Courier New" w:eastAsia="Times New Roman" w:hAnsi="Courier New" w:cs="Courier New"/>
      <w:sz w:val="20"/>
      <w:szCs w:val="20"/>
      <w:lang w:eastAsia="ru-RU"/>
    </w:rPr>
  </w:style>
  <w:style w:type="paragraph" w:customStyle="1" w:styleId="Style3">
    <w:name w:val="Style3"/>
    <w:basedOn w:val="a0"/>
    <w:rsid w:val="003F39BC"/>
    <w:pPr>
      <w:widowControl w:val="0"/>
      <w:autoSpaceDE w:val="0"/>
      <w:autoSpaceDN w:val="0"/>
      <w:adjustRightInd w:val="0"/>
      <w:spacing w:after="0" w:line="240" w:lineRule="auto"/>
      <w:ind w:firstLine="709"/>
      <w:jc w:val="right"/>
    </w:pPr>
    <w:rPr>
      <w:rFonts w:ascii="Courier New" w:eastAsia="Times New Roman" w:hAnsi="Courier New" w:cs="Courier New"/>
      <w:sz w:val="24"/>
      <w:szCs w:val="24"/>
    </w:rPr>
  </w:style>
  <w:style w:type="paragraph" w:customStyle="1" w:styleId="affff2">
    <w:name w:val="Знак Знак Знак Знак"/>
    <w:basedOn w:val="a0"/>
    <w:rsid w:val="003F39BC"/>
    <w:pPr>
      <w:spacing w:after="160" w:line="240" w:lineRule="exact"/>
    </w:pPr>
    <w:rPr>
      <w:rFonts w:ascii="Verdana" w:eastAsia="Times New Roman" w:hAnsi="Verdana" w:cs="Verdana"/>
      <w:sz w:val="20"/>
      <w:szCs w:val="20"/>
      <w:lang w:val="en-US"/>
    </w:rPr>
  </w:style>
  <w:style w:type="paragraph" w:customStyle="1" w:styleId="maintext">
    <w:name w:val="maintext"/>
    <w:basedOn w:val="a0"/>
    <w:rsid w:val="003F39BC"/>
    <w:pPr>
      <w:spacing w:before="100" w:beforeAutospacing="1" w:after="100" w:afterAutospacing="1" w:line="240" w:lineRule="auto"/>
    </w:pPr>
    <w:rPr>
      <w:rFonts w:ascii="Arial" w:eastAsia="Times New Roman" w:hAnsi="Arial" w:cs="Arial"/>
      <w:color w:val="000000"/>
      <w:sz w:val="12"/>
      <w:szCs w:val="12"/>
      <w:lang w:eastAsia="ru-RU"/>
    </w:rPr>
  </w:style>
  <w:style w:type="paragraph" w:customStyle="1" w:styleId="affff3">
    <w:name w:val="Знак Знак Знак"/>
    <w:basedOn w:val="a0"/>
    <w:rsid w:val="003F39BC"/>
    <w:pPr>
      <w:spacing w:after="160" w:line="240" w:lineRule="exact"/>
    </w:pPr>
    <w:rPr>
      <w:rFonts w:ascii="Verdana" w:eastAsia="Times New Roman" w:hAnsi="Verdana" w:cs="Verdana"/>
      <w:sz w:val="20"/>
      <w:szCs w:val="20"/>
      <w:lang w:val="en-US"/>
    </w:rPr>
  </w:style>
  <w:style w:type="paragraph" w:customStyle="1" w:styleId="affff4">
    <w:name w:val="Изобр по центру"/>
    <w:basedOn w:val="affff5"/>
    <w:rsid w:val="003F39BC"/>
    <w:pPr>
      <w:jc w:val="center"/>
    </w:pPr>
    <w:rPr>
      <w:bCs/>
    </w:rPr>
  </w:style>
  <w:style w:type="paragraph" w:customStyle="1" w:styleId="affff5">
    <w:name w:val="Изображение"/>
    <w:basedOn w:val="a0"/>
    <w:rsid w:val="003F39BC"/>
    <w:pPr>
      <w:widowControl w:val="0"/>
      <w:spacing w:after="0" w:line="240" w:lineRule="auto"/>
    </w:pPr>
    <w:rPr>
      <w:rFonts w:ascii="Times New Roman" w:eastAsia="Times New Roman" w:hAnsi="Times New Roman" w:cs="Times New Roman"/>
      <w:sz w:val="20"/>
      <w:szCs w:val="20"/>
      <w:lang w:eastAsia="ru-RU"/>
    </w:rPr>
  </w:style>
  <w:style w:type="character" w:customStyle="1" w:styleId="affff6">
    <w:name w:val="Изображение Знак"/>
    <w:rsid w:val="003F39BC"/>
    <w:rPr>
      <w:lang w:val="ru-RU" w:eastAsia="ru-RU" w:bidi="ar-SA"/>
    </w:rPr>
  </w:style>
  <w:style w:type="character" w:customStyle="1" w:styleId="affff7">
    <w:name w:val="Изобр по центру Знак"/>
    <w:rsid w:val="003F39BC"/>
    <w:rPr>
      <w:bCs/>
      <w:lang w:val="ru-RU" w:eastAsia="ru-RU" w:bidi="ar-SA"/>
    </w:rPr>
  </w:style>
  <w:style w:type="paragraph" w:customStyle="1" w:styleId="IAS">
    <w:name w:val="IAS"/>
    <w:basedOn w:val="a0"/>
    <w:rsid w:val="003F39BC"/>
    <w:pPr>
      <w:autoSpaceDE w:val="0"/>
      <w:autoSpaceDN w:val="0"/>
      <w:spacing w:after="0" w:line="-260" w:lineRule="auto"/>
    </w:pPr>
    <w:rPr>
      <w:rFonts w:ascii="Times" w:eastAsia="Times New Roman" w:hAnsi="Times" w:cs="Times"/>
      <w:i/>
      <w:iCs/>
      <w:sz w:val="20"/>
      <w:szCs w:val="20"/>
      <w:lang w:val="en-GB" w:eastAsia="ru-RU"/>
    </w:rPr>
  </w:style>
  <w:style w:type="paragraph" w:customStyle="1" w:styleId="NonFormat">
    <w:name w:val="NonFormat"/>
    <w:basedOn w:val="a0"/>
    <w:rsid w:val="003F39BC"/>
    <w:pPr>
      <w:widowControl w:val="0"/>
      <w:spacing w:after="0" w:line="240" w:lineRule="auto"/>
    </w:pPr>
    <w:rPr>
      <w:rFonts w:ascii="Courier New" w:eastAsia="Times New Roman" w:hAnsi="Courier New" w:cs="Courier New"/>
      <w:b/>
      <w:bCs/>
      <w:sz w:val="20"/>
      <w:szCs w:val="20"/>
    </w:rPr>
  </w:style>
  <w:style w:type="paragraph" w:customStyle="1" w:styleId="29">
    <w:name w:val="îãëàâëåíèå 2"/>
    <w:basedOn w:val="a0"/>
    <w:next w:val="a0"/>
    <w:rsid w:val="003F39BC"/>
    <w:pPr>
      <w:widowControl w:val="0"/>
      <w:autoSpaceDE w:val="0"/>
      <w:autoSpaceDN w:val="0"/>
      <w:adjustRightInd w:val="0"/>
      <w:spacing w:after="0" w:line="240" w:lineRule="auto"/>
      <w:ind w:left="200"/>
    </w:pPr>
    <w:rPr>
      <w:rFonts w:ascii="Times New Roman" w:eastAsia="Times New Roman" w:hAnsi="Times New Roman" w:cs="Times New Roman"/>
      <w:b/>
      <w:bCs/>
      <w:sz w:val="20"/>
      <w:szCs w:val="20"/>
    </w:rPr>
  </w:style>
  <w:style w:type="paragraph" w:customStyle="1" w:styleId="affff8">
    <w:name w:val="Название должности"/>
    <w:next w:val="a0"/>
    <w:rsid w:val="003F39BC"/>
    <w:pPr>
      <w:spacing w:after="40" w:line="220" w:lineRule="atLeast"/>
    </w:pPr>
    <w:rPr>
      <w:rFonts w:ascii="Arial" w:eastAsia="Times New Roman" w:hAnsi="Arial" w:cs="Arial"/>
      <w:b/>
      <w:bCs/>
      <w:spacing w:val="-10"/>
      <w:sz w:val="20"/>
      <w:szCs w:val="20"/>
      <w:lang w:eastAsia="ru-RU"/>
    </w:rPr>
  </w:style>
  <w:style w:type="paragraph" w:customStyle="1" w:styleId="1f9">
    <w:name w:val="Знак1"/>
    <w:basedOn w:val="a0"/>
    <w:rsid w:val="003F39BC"/>
    <w:pPr>
      <w:tabs>
        <w:tab w:val="num" w:pos="720"/>
      </w:tabs>
      <w:spacing w:after="160" w:line="240" w:lineRule="exact"/>
      <w:ind w:left="720" w:hanging="360"/>
      <w:jc w:val="both"/>
    </w:pPr>
    <w:rPr>
      <w:rFonts w:ascii="Verdana" w:eastAsia="Times New Roman" w:hAnsi="Verdana" w:cs="Arial"/>
      <w:sz w:val="20"/>
      <w:szCs w:val="20"/>
      <w:lang w:val="en-US"/>
    </w:rPr>
  </w:style>
  <w:style w:type="paragraph" w:customStyle="1" w:styleId="AcntHeading1">
    <w:name w:val="Acnt Heading 1"/>
    <w:rsid w:val="003F39BC"/>
    <w:pPr>
      <w:widowControl w:val="0"/>
      <w:autoSpaceDE w:val="0"/>
      <w:autoSpaceDN w:val="0"/>
      <w:adjustRightInd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NumHead1">
    <w:name w:val="NumHead 1"/>
    <w:basedOn w:val="a0"/>
    <w:next w:val="a0"/>
    <w:rsid w:val="003F39BC"/>
    <w:pPr>
      <w:keepNext/>
      <w:keepLines/>
      <w:numPr>
        <w:numId w:val="1"/>
      </w:numPr>
      <w:tabs>
        <w:tab w:val="left" w:pos="1008"/>
      </w:tabs>
      <w:spacing w:before="360" w:after="0" w:line="270" w:lineRule="atLeast"/>
      <w:ind w:left="1008" w:hanging="1008"/>
    </w:pPr>
    <w:rPr>
      <w:rFonts w:ascii="Arial" w:eastAsia="Times New Roman" w:hAnsi="Arial" w:cs="Times New Roman"/>
      <w:b/>
      <w:lang w:val="en-GB"/>
    </w:rPr>
  </w:style>
  <w:style w:type="character" w:customStyle="1" w:styleId="NumHead10">
    <w:name w:val="NumHead 1 Знак"/>
    <w:rsid w:val="003F39BC"/>
    <w:rPr>
      <w:rFonts w:ascii="Arial" w:hAnsi="Arial"/>
      <w:b/>
      <w:sz w:val="22"/>
      <w:szCs w:val="22"/>
      <w:lang w:val="en-GB" w:eastAsia="en-US" w:bidi="ar-SA"/>
    </w:rPr>
  </w:style>
  <w:style w:type="paragraph" w:customStyle="1" w:styleId="NumHead2">
    <w:name w:val="NumHead 2"/>
    <w:basedOn w:val="NumHead1"/>
    <w:next w:val="a0"/>
    <w:rsid w:val="003F39BC"/>
    <w:pPr>
      <w:numPr>
        <w:numId w:val="0"/>
      </w:numPr>
      <w:tabs>
        <w:tab w:val="num" w:pos="360"/>
        <w:tab w:val="num" w:pos="720"/>
        <w:tab w:val="num" w:pos="1440"/>
        <w:tab w:val="num" w:pos="2574"/>
      </w:tabs>
      <w:ind w:left="1008" w:hanging="1008"/>
    </w:pPr>
  </w:style>
  <w:style w:type="paragraph" w:customStyle="1" w:styleId="Web">
    <w:name w:val="Обычный (Web)"/>
    <w:basedOn w:val="a0"/>
    <w:rsid w:val="003F39BC"/>
    <w:pPr>
      <w:numPr>
        <w:ilvl w:val="3"/>
        <w:numId w:val="1"/>
      </w:numPr>
      <w:spacing w:before="100" w:after="100" w:line="240" w:lineRule="auto"/>
    </w:pPr>
    <w:rPr>
      <w:rFonts w:ascii="Times New Roman" w:eastAsia="Times New Roman" w:hAnsi="Times New Roman" w:cs="Times New Roman"/>
      <w:color w:val="000000"/>
      <w:sz w:val="24"/>
      <w:szCs w:val="24"/>
      <w:lang w:eastAsia="ru-RU"/>
    </w:rPr>
  </w:style>
  <w:style w:type="paragraph" w:customStyle="1" w:styleId="affff9">
    <w:name w:val="Îáû÷íûé"/>
    <w:rsid w:val="003F39BC"/>
    <w:pPr>
      <w:widowControl w:val="0"/>
      <w:spacing w:after="0" w:line="240" w:lineRule="auto"/>
    </w:pPr>
    <w:rPr>
      <w:rFonts w:ascii="Times New Roman" w:eastAsia="Times New Roman" w:hAnsi="Times New Roman" w:cs="Times New Roman"/>
      <w:sz w:val="20"/>
      <w:szCs w:val="20"/>
      <w:lang w:eastAsia="ru-RU"/>
    </w:rPr>
  </w:style>
  <w:style w:type="paragraph" w:customStyle="1" w:styleId="affffa">
    <w:name w:val="Абзац годового отчета"/>
    <w:basedOn w:val="a0"/>
    <w:rsid w:val="003F39BC"/>
    <w:pPr>
      <w:autoSpaceDE w:val="0"/>
      <w:autoSpaceDN w:val="0"/>
      <w:adjustRightInd w:val="0"/>
      <w:spacing w:before="120" w:after="0" w:line="240" w:lineRule="auto"/>
      <w:ind w:firstLine="567"/>
      <w:jc w:val="both"/>
    </w:pPr>
    <w:rPr>
      <w:rFonts w:ascii="TimesNewRoman" w:eastAsia="Times New Roman" w:hAnsi="TimesNewRoman" w:cs="TimesNewRoman"/>
      <w:color w:val="000000"/>
      <w:sz w:val="24"/>
      <w:szCs w:val="24"/>
      <w:lang w:eastAsia="ru-RU"/>
    </w:rPr>
  </w:style>
  <w:style w:type="paragraph" w:customStyle="1" w:styleId="affffb">
    <w:name w:val="список для годового отчета"/>
    <w:basedOn w:val="affffa"/>
    <w:rsid w:val="003F39BC"/>
    <w:pPr>
      <w:tabs>
        <w:tab w:val="num" w:pos="360"/>
      </w:tabs>
    </w:pPr>
  </w:style>
  <w:style w:type="paragraph" w:styleId="2a">
    <w:name w:val="toc 2"/>
    <w:basedOn w:val="a0"/>
    <w:next w:val="a0"/>
    <w:autoRedefine/>
    <w:uiPriority w:val="39"/>
    <w:rsid w:val="003F39BC"/>
    <w:pPr>
      <w:tabs>
        <w:tab w:val="left" w:pos="8460"/>
        <w:tab w:val="right" w:leader="dot" w:pos="8820"/>
        <w:tab w:val="right" w:leader="dot" w:pos="9639"/>
      </w:tabs>
      <w:spacing w:after="0" w:line="240" w:lineRule="auto"/>
      <w:jc w:val="center"/>
    </w:pPr>
    <w:rPr>
      <w:rFonts w:ascii="Times New Roman" w:eastAsia="Times New Roman" w:hAnsi="Times New Roman" w:cs="Times New Roman"/>
      <w:b/>
      <w:noProof/>
      <w:sz w:val="24"/>
      <w:szCs w:val="24"/>
      <w:lang w:eastAsia="ru-RU"/>
    </w:rPr>
  </w:style>
  <w:style w:type="character" w:customStyle="1" w:styleId="affffc">
    <w:name w:val="Текст Знак Знак Знак Знак Знак Знак Знак Знак Знак Знак Знак Знак"/>
    <w:semiHidden/>
    <w:locked/>
    <w:rsid w:val="003F39BC"/>
    <w:rPr>
      <w:rFonts w:ascii="Courier New" w:hAnsi="Courier New" w:cs="Courier New"/>
      <w:lang w:val="ru-RU" w:eastAsia="ru-RU" w:bidi="ar-SA"/>
    </w:rPr>
  </w:style>
  <w:style w:type="paragraph" w:customStyle="1" w:styleId="Pa7">
    <w:name w:val="Pa7"/>
    <w:basedOn w:val="a0"/>
    <w:next w:val="a0"/>
    <w:rsid w:val="003F39BC"/>
    <w:pPr>
      <w:autoSpaceDE w:val="0"/>
      <w:autoSpaceDN w:val="0"/>
      <w:adjustRightInd w:val="0"/>
      <w:spacing w:after="0" w:line="181" w:lineRule="atLeast"/>
    </w:pPr>
    <w:rPr>
      <w:rFonts w:ascii="CharterC" w:eastAsia="Times New Roman" w:hAnsi="CharterC" w:cs="Times New Roman"/>
      <w:sz w:val="24"/>
      <w:szCs w:val="24"/>
      <w:lang w:eastAsia="ru-RU"/>
    </w:rPr>
  </w:style>
  <w:style w:type="paragraph" w:customStyle="1" w:styleId="ConsPlusTitle">
    <w:name w:val="ConsPlusTitle"/>
    <w:rsid w:val="003F39BC"/>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styleId="affffd">
    <w:name w:val="endnote text"/>
    <w:basedOn w:val="a0"/>
    <w:link w:val="affffe"/>
    <w:uiPriority w:val="99"/>
    <w:unhideWhenUsed/>
    <w:rsid w:val="003F39BC"/>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концевой сноски Знак"/>
    <w:basedOn w:val="a1"/>
    <w:link w:val="affffd"/>
    <w:uiPriority w:val="99"/>
    <w:rsid w:val="003F39BC"/>
    <w:rPr>
      <w:rFonts w:ascii="Times New Roman" w:eastAsia="Times New Roman" w:hAnsi="Times New Roman" w:cs="Times New Roman"/>
      <w:sz w:val="20"/>
      <w:szCs w:val="20"/>
      <w:lang w:eastAsia="ru-RU"/>
    </w:rPr>
  </w:style>
  <w:style w:type="character" w:customStyle="1" w:styleId="apple-style-span">
    <w:name w:val="apple-style-span"/>
    <w:rsid w:val="003F39BC"/>
  </w:style>
  <w:style w:type="paragraph" w:customStyle="1" w:styleId="afffff">
    <w:name w:val="Обзор"/>
    <w:basedOn w:val="a0"/>
    <w:rsid w:val="003F39BC"/>
    <w:pPr>
      <w:spacing w:after="0" w:line="240" w:lineRule="auto"/>
      <w:ind w:firstLine="397"/>
      <w:jc w:val="both"/>
    </w:pPr>
    <w:rPr>
      <w:rFonts w:ascii="Times New Roman" w:eastAsia="Calibri" w:hAnsi="Times New Roman" w:cs="Times New Roman"/>
      <w:sz w:val="24"/>
      <w:szCs w:val="24"/>
      <w:lang w:eastAsia="ru-RU"/>
    </w:rPr>
  </w:style>
  <w:style w:type="character" w:styleId="afffff0">
    <w:name w:val="endnote reference"/>
    <w:uiPriority w:val="99"/>
    <w:unhideWhenUsed/>
    <w:rsid w:val="003F39BC"/>
    <w:rPr>
      <w:vertAlign w:val="superscript"/>
    </w:rPr>
  </w:style>
  <w:style w:type="table" w:customStyle="1" w:styleId="1fa">
    <w:name w:val="Сетка таблицы1"/>
    <w:basedOn w:val="a2"/>
    <w:next w:val="af3"/>
    <w:uiPriority w:val="59"/>
    <w:rsid w:val="003F39BC"/>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Revision"/>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customStyle="1" w:styleId="af9">
    <w:name w:val="Абзац списка Знак"/>
    <w:aliases w:val="Нумерованый список Знак,List Paragraph1 Знак,AC List 01 Знак,List Paragraph Знак,Абзац списка1 Знак,ПАРАГРАФ Знак,Абзац списка2 Знак,Маркер Знак,Ненумерованный список Знак,head 5 Знак,Subtle Emphasis Знак,Буллет Знак,Bullet_IRAO Знак"/>
    <w:link w:val="af8"/>
    <w:uiPriority w:val="34"/>
    <w:qFormat/>
    <w:locked/>
    <w:rsid w:val="003F39BC"/>
    <w:rPr>
      <w:rFonts w:ascii="Calibri" w:eastAsia="Calibri" w:hAnsi="Calibri" w:cs="Calibri"/>
    </w:rPr>
  </w:style>
  <w:style w:type="paragraph" w:customStyle="1" w:styleId="Default">
    <w:name w:val="Default"/>
    <w:rsid w:val="003F39BC"/>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afffff2">
    <w:name w:val="текст"/>
    <w:basedOn w:val="a0"/>
    <w:link w:val="afffff3"/>
    <w:qFormat/>
    <w:rsid w:val="003F39BC"/>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3">
    <w:name w:val="текст Знак"/>
    <w:link w:val="afffff2"/>
    <w:rsid w:val="003F39BC"/>
    <w:rPr>
      <w:rFonts w:ascii="Times New Roman" w:eastAsia="Times New Roman" w:hAnsi="Times New Roman" w:cs="Times New Roman"/>
      <w:sz w:val="24"/>
      <w:szCs w:val="24"/>
      <w:lang w:eastAsia="ru-RU"/>
    </w:rPr>
  </w:style>
  <w:style w:type="paragraph" w:customStyle="1" w:styleId="38">
    <w:name w:val="нумерация 3 уровня"/>
    <w:basedOn w:val="af8"/>
    <w:link w:val="39"/>
    <w:qFormat/>
    <w:rsid w:val="003F39BC"/>
    <w:pPr>
      <w:tabs>
        <w:tab w:val="left" w:pos="1560"/>
      </w:tabs>
      <w:spacing w:before="120"/>
      <w:ind w:left="0" w:firstLine="720"/>
      <w:jc w:val="both"/>
    </w:pPr>
    <w:rPr>
      <w:rFonts w:ascii="Times New Roman" w:eastAsia="Times New Roman" w:hAnsi="Times New Roman" w:cs="Times New Roman"/>
      <w:iCs/>
      <w:color w:val="000000"/>
      <w:sz w:val="28"/>
      <w:szCs w:val="28"/>
      <w:lang w:eastAsia="ru-RU" w:bidi="ru-RU"/>
    </w:rPr>
  </w:style>
  <w:style w:type="character" w:customStyle="1" w:styleId="39">
    <w:name w:val="нумерация 3 уровня Знак"/>
    <w:link w:val="38"/>
    <w:rsid w:val="003F39BC"/>
    <w:rPr>
      <w:rFonts w:ascii="Times New Roman" w:eastAsia="Times New Roman" w:hAnsi="Times New Roman" w:cs="Times New Roman"/>
      <w:iCs/>
      <w:color w:val="000000"/>
      <w:sz w:val="28"/>
      <w:szCs w:val="28"/>
      <w:lang w:eastAsia="ru-RU" w:bidi="ru-RU"/>
    </w:rPr>
  </w:style>
  <w:style w:type="numbering" w:customStyle="1" w:styleId="3a">
    <w:name w:val="Нет списка3"/>
    <w:next w:val="a3"/>
    <w:uiPriority w:val="99"/>
    <w:semiHidden/>
    <w:unhideWhenUsed/>
    <w:rsid w:val="003F39BC"/>
  </w:style>
  <w:style w:type="paragraph" w:customStyle="1" w:styleId="1fb">
    <w:name w:val="Знак Знак1 Знак Знак Знак"/>
    <w:basedOn w:val="a0"/>
    <w:rsid w:val="003F39BC"/>
    <w:pPr>
      <w:tabs>
        <w:tab w:val="num" w:pos="360"/>
      </w:tabs>
      <w:spacing w:after="160" w:line="240" w:lineRule="exact"/>
    </w:pPr>
    <w:rPr>
      <w:rFonts w:ascii="Times New Roman" w:eastAsia="Times New Roman" w:hAnsi="Times New Roman" w:cs="Times New Roman"/>
      <w:noProof/>
      <w:sz w:val="24"/>
      <w:szCs w:val="24"/>
      <w:lang w:val="en-US" w:eastAsia="ru-RU"/>
    </w:rPr>
  </w:style>
  <w:style w:type="numbering" w:customStyle="1" w:styleId="42">
    <w:name w:val="Нет списка4"/>
    <w:next w:val="a3"/>
    <w:uiPriority w:val="99"/>
    <w:semiHidden/>
    <w:unhideWhenUsed/>
    <w:rsid w:val="003F39BC"/>
  </w:style>
  <w:style w:type="paragraph" w:styleId="a">
    <w:name w:val="List Bullet"/>
    <w:basedOn w:val="a0"/>
    <w:rsid w:val="003F39BC"/>
    <w:pPr>
      <w:numPr>
        <w:numId w:val="2"/>
      </w:numPr>
      <w:spacing w:after="0" w:line="240" w:lineRule="auto"/>
      <w:contextualSpacing/>
    </w:pPr>
    <w:rPr>
      <w:rFonts w:ascii="Times New Roman" w:eastAsia="Times New Roman" w:hAnsi="Times New Roman" w:cs="Times New Roman"/>
      <w:sz w:val="24"/>
      <w:szCs w:val="24"/>
      <w:lang w:eastAsia="ru-RU"/>
    </w:rPr>
  </w:style>
  <w:style w:type="character" w:customStyle="1" w:styleId="defaultlabelstyle1">
    <w:name w:val="defaultlabelstyle1"/>
    <w:rsid w:val="003F39BC"/>
    <w:rPr>
      <w:color w:val="auto"/>
    </w:rPr>
  </w:style>
  <w:style w:type="character" w:customStyle="1" w:styleId="webofficeattributevalue">
    <w:name w:val="webofficeattributevalue"/>
    <w:basedOn w:val="a1"/>
    <w:rsid w:val="003F39BC"/>
  </w:style>
  <w:style w:type="paragraph" w:customStyle="1" w:styleId="1fc">
    <w:name w:val="Знак Знак Знак1"/>
    <w:basedOn w:val="a0"/>
    <w:rsid w:val="003F39BC"/>
    <w:pPr>
      <w:tabs>
        <w:tab w:val="num" w:pos="360"/>
      </w:tabs>
      <w:spacing w:after="160" w:line="240" w:lineRule="exact"/>
    </w:pPr>
    <w:rPr>
      <w:rFonts w:ascii="Verdana" w:eastAsia="Times New Roman" w:hAnsi="Verdana" w:cs="Verdana"/>
      <w:sz w:val="20"/>
      <w:szCs w:val="20"/>
      <w:lang w:val="en-US"/>
    </w:rPr>
  </w:style>
  <w:style w:type="paragraph" w:customStyle="1" w:styleId="Normal1">
    <w:name w:val="Normal1"/>
    <w:rsid w:val="003F39BC"/>
    <w:pPr>
      <w:spacing w:after="0" w:line="240" w:lineRule="auto"/>
    </w:pPr>
    <w:rPr>
      <w:rFonts w:ascii="Times New Roman" w:eastAsia="Times New Roman" w:hAnsi="Times New Roman" w:cs="Times New Roman"/>
      <w:sz w:val="26"/>
      <w:szCs w:val="20"/>
      <w:lang w:eastAsia="ru-RU"/>
    </w:rPr>
  </w:style>
  <w:style w:type="paragraph" w:customStyle="1" w:styleId="CharCharCharChar1">
    <w:name w:val="Знак Знак Знак Знак Знак Знак Знак Знак Знак Char Char Знак Char Char1"/>
    <w:basedOn w:val="a0"/>
    <w:rsid w:val="003F39BC"/>
    <w:pPr>
      <w:tabs>
        <w:tab w:val="num" w:pos="360"/>
      </w:tabs>
      <w:spacing w:after="160" w:line="240" w:lineRule="exact"/>
    </w:pPr>
    <w:rPr>
      <w:rFonts w:ascii="Times New Roman" w:eastAsia="Times New Roman" w:hAnsi="Times New Roman" w:cs="Times New Roman"/>
      <w:noProof/>
      <w:sz w:val="24"/>
      <w:szCs w:val="24"/>
      <w:lang w:val="en-US" w:eastAsia="ru-RU"/>
    </w:rPr>
  </w:style>
  <w:style w:type="character" w:styleId="afffff4">
    <w:name w:val="FollowedHyperlink"/>
    <w:rsid w:val="003F39BC"/>
    <w:rPr>
      <w:color w:val="800080"/>
      <w:u w:val="single"/>
    </w:rPr>
  </w:style>
  <w:style w:type="character" w:customStyle="1" w:styleId="webofficeattributevalue1">
    <w:name w:val="webofficeattributevalue1"/>
    <w:rsid w:val="003F39BC"/>
    <w:rPr>
      <w:rFonts w:ascii="Verdana" w:hAnsi="Verdana" w:hint="default"/>
      <w:strike w:val="0"/>
      <w:dstrike w:val="0"/>
      <w:color w:val="000000"/>
      <w:sz w:val="18"/>
      <w:szCs w:val="18"/>
      <w:u w:val="none"/>
      <w:effect w:val="none"/>
    </w:rPr>
  </w:style>
  <w:style w:type="paragraph" w:customStyle="1" w:styleId="msolistparagraph0">
    <w:name w:val="msolistparagraph"/>
    <w:basedOn w:val="a0"/>
    <w:rsid w:val="003F39BC"/>
    <w:pPr>
      <w:spacing w:after="0" w:line="240" w:lineRule="auto"/>
      <w:ind w:left="720"/>
    </w:pPr>
    <w:rPr>
      <w:rFonts w:ascii="Calibri" w:eastAsia="Times New Roman" w:hAnsi="Calibri" w:cs="Times New Roman"/>
      <w:lang w:eastAsia="ru-RU"/>
    </w:rPr>
  </w:style>
  <w:style w:type="paragraph" w:customStyle="1" w:styleId="Revision1">
    <w:name w:val="Revision1"/>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styleId="afffff5">
    <w:name w:val="line number"/>
    <w:rsid w:val="003F39BC"/>
  </w:style>
  <w:style w:type="paragraph" w:customStyle="1" w:styleId="1fd">
    <w:name w:val="Рецензия1"/>
    <w:hidden/>
    <w:uiPriority w:val="99"/>
    <w:semiHidden/>
    <w:rsid w:val="003F39BC"/>
    <w:pPr>
      <w:spacing w:after="0" w:line="240" w:lineRule="auto"/>
    </w:pPr>
    <w:rPr>
      <w:rFonts w:ascii="Times New Roman" w:eastAsia="Times New Roman" w:hAnsi="Times New Roman" w:cs="Times New Roman"/>
      <w:sz w:val="24"/>
      <w:szCs w:val="24"/>
      <w:lang w:eastAsia="ru-RU"/>
    </w:rPr>
  </w:style>
  <w:style w:type="character" w:customStyle="1" w:styleId="defaultlabelstyle3">
    <w:name w:val="defaultlabelstyle3"/>
    <w:rsid w:val="003F39BC"/>
    <w:rPr>
      <w:rFonts w:ascii="Verdana" w:hAnsi="Verdana" w:hint="default"/>
      <w:b w:val="0"/>
      <w:bCs w:val="0"/>
      <w:color w:val="333333"/>
    </w:rPr>
  </w:style>
  <w:style w:type="paragraph" w:customStyle="1" w:styleId="112">
    <w:name w:val="Цветной список — акцент 11"/>
    <w:basedOn w:val="a0"/>
    <w:uiPriority w:val="34"/>
    <w:qFormat/>
    <w:rsid w:val="003F39BC"/>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pple-converted-space">
    <w:name w:val="apple-converted-space"/>
    <w:rsid w:val="003F39BC"/>
  </w:style>
  <w:style w:type="paragraph" w:customStyle="1" w:styleId="afffff6">
    <w:name w:val="Базовый"/>
    <w:rsid w:val="003F39BC"/>
    <w:pPr>
      <w:tabs>
        <w:tab w:val="left" w:pos="709"/>
      </w:tabs>
      <w:suppressAutoHyphens/>
      <w:spacing w:after="0" w:line="200" w:lineRule="atLeast"/>
      <w:jc w:val="both"/>
    </w:pPr>
    <w:rPr>
      <w:rFonts w:ascii="Calibri" w:eastAsia="Times New Roman" w:hAnsi="Calibri" w:cs="Calibri"/>
    </w:rPr>
  </w:style>
  <w:style w:type="paragraph" w:customStyle="1" w:styleId="Pa42">
    <w:name w:val="Pa42"/>
    <w:basedOn w:val="Default"/>
    <w:next w:val="Default"/>
    <w:uiPriority w:val="99"/>
    <w:rsid w:val="003F39BC"/>
    <w:pPr>
      <w:spacing w:line="141" w:lineRule="atLeast"/>
    </w:pPr>
    <w:rPr>
      <w:rFonts w:ascii="Univers LT CYR 45 Light" w:eastAsia="Times New Roman" w:hAnsi="Univers LT CYR 45 Light"/>
      <w:color w:val="auto"/>
      <w:lang w:eastAsia="ru-RU"/>
    </w:rPr>
  </w:style>
  <w:style w:type="paragraph" w:customStyle="1" w:styleId="Pa25">
    <w:name w:val="Pa25"/>
    <w:basedOn w:val="Default"/>
    <w:next w:val="Default"/>
    <w:uiPriority w:val="99"/>
    <w:rsid w:val="003F39BC"/>
    <w:pPr>
      <w:spacing w:line="141" w:lineRule="atLeast"/>
    </w:pPr>
    <w:rPr>
      <w:rFonts w:ascii="Univers LT CYR 45 Light" w:hAnsi="Univers LT CYR 45 Light"/>
      <w:color w:val="auto"/>
    </w:rPr>
  </w:style>
  <w:style w:type="character" w:customStyle="1" w:styleId="A40">
    <w:name w:val="A4"/>
    <w:uiPriority w:val="99"/>
    <w:rsid w:val="003F39BC"/>
    <w:rPr>
      <w:rFonts w:ascii="Univers LT CYR 47 Lt Cn" w:hAnsi="Univers LT CYR 47 Lt Cn" w:cs="Univers LT CYR 47 Lt Cn" w:hint="default"/>
      <w:color w:val="000000"/>
      <w:sz w:val="18"/>
      <w:szCs w:val="18"/>
    </w:rPr>
  </w:style>
  <w:style w:type="paragraph" w:customStyle="1" w:styleId="Subsection">
    <w:name w:val="Subsection"/>
    <w:basedOn w:val="a0"/>
    <w:rsid w:val="003F39BC"/>
    <w:pPr>
      <w:widowControl w:val="0"/>
      <w:spacing w:before="240" w:after="120" w:line="240" w:lineRule="auto"/>
    </w:pPr>
    <w:rPr>
      <w:rFonts w:ascii="Times New Roman" w:eastAsia="Times New Roman" w:hAnsi="Times New Roman" w:cs="Times New Roman"/>
      <w:b/>
      <w:caps/>
      <w:sz w:val="24"/>
      <w:szCs w:val="24"/>
      <w:lang w:val="en-GB" w:eastAsia="ru-RU"/>
    </w:rPr>
  </w:style>
  <w:style w:type="character" w:customStyle="1" w:styleId="52">
    <w:name w:val="Основной текст (5)_"/>
    <w:link w:val="53"/>
    <w:locked/>
    <w:rsid w:val="003F39BC"/>
    <w:rPr>
      <w:b/>
      <w:bCs/>
      <w:shd w:val="clear" w:color="auto" w:fill="FFFFFF"/>
    </w:rPr>
  </w:style>
  <w:style w:type="paragraph" w:customStyle="1" w:styleId="53">
    <w:name w:val="Основной текст (5)"/>
    <w:basedOn w:val="a0"/>
    <w:link w:val="52"/>
    <w:rsid w:val="003F39BC"/>
    <w:pPr>
      <w:widowControl w:val="0"/>
      <w:shd w:val="clear" w:color="auto" w:fill="FFFFFF"/>
      <w:spacing w:before="240" w:after="0" w:line="274" w:lineRule="exact"/>
      <w:jc w:val="both"/>
    </w:pPr>
    <w:rPr>
      <w:b/>
      <w:bCs/>
    </w:rPr>
  </w:style>
  <w:style w:type="paragraph" w:customStyle="1" w:styleId="1fe">
    <w:name w:val="Без интервала1"/>
    <w:rsid w:val="003F39BC"/>
    <w:pPr>
      <w:spacing w:after="0" w:line="240" w:lineRule="auto"/>
    </w:pPr>
    <w:rPr>
      <w:rFonts w:ascii="Times New Roman" w:eastAsia="Times New Roman" w:hAnsi="Times New Roman" w:cs="Times New Roman"/>
      <w:sz w:val="24"/>
      <w:szCs w:val="24"/>
    </w:rPr>
  </w:style>
  <w:style w:type="paragraph" w:customStyle="1" w:styleId="afffff7">
    <w:name w:val="ОСНОВНОЙ ТЕКСТ"/>
    <w:basedOn w:val="a0"/>
    <w:next w:val="a0"/>
    <w:qFormat/>
    <w:rsid w:val="003F39BC"/>
    <w:pPr>
      <w:tabs>
        <w:tab w:val="left" w:pos="1080"/>
        <w:tab w:val="left" w:pos="1320"/>
      </w:tabs>
      <w:spacing w:after="0" w:line="240" w:lineRule="auto"/>
      <w:ind w:firstLine="567"/>
      <w:jc w:val="both"/>
    </w:pPr>
    <w:rPr>
      <w:rFonts w:ascii="Times New Roman" w:eastAsia="Times New Roman" w:hAnsi="Times New Roman" w:cs="Times New Roman"/>
      <w:snapToGrid w:val="0"/>
      <w:sz w:val="26"/>
      <w:szCs w:val="24"/>
      <w:lang w:eastAsia="ru-RU"/>
    </w:rPr>
  </w:style>
  <w:style w:type="table" w:customStyle="1" w:styleId="TableGrid">
    <w:name w:val="TableGrid"/>
    <w:rsid w:val="003F39BC"/>
    <w:pPr>
      <w:spacing w:after="0" w:line="240" w:lineRule="auto"/>
    </w:pPr>
    <w:rPr>
      <w:rFonts w:eastAsiaTheme="minorEastAsia"/>
      <w:lang w:eastAsia="ru-RU"/>
    </w:rPr>
    <w:tblPr>
      <w:tblCellMar>
        <w:top w:w="0" w:type="dxa"/>
        <w:left w:w="0" w:type="dxa"/>
        <w:bottom w:w="0" w:type="dxa"/>
        <w:right w:w="0" w:type="dxa"/>
      </w:tblCellMar>
    </w:tblPr>
  </w:style>
  <w:style w:type="paragraph" w:styleId="43">
    <w:name w:val="toc 4"/>
    <w:basedOn w:val="a0"/>
    <w:next w:val="a0"/>
    <w:autoRedefine/>
    <w:uiPriority w:val="39"/>
    <w:unhideWhenUsed/>
    <w:rsid w:val="003F39BC"/>
    <w:pPr>
      <w:spacing w:after="100"/>
      <w:ind w:left="660"/>
    </w:pPr>
    <w:rPr>
      <w:rFonts w:eastAsiaTheme="minorEastAsia"/>
      <w:lang w:eastAsia="ru-RU"/>
    </w:rPr>
  </w:style>
  <w:style w:type="paragraph" w:styleId="54">
    <w:name w:val="toc 5"/>
    <w:basedOn w:val="a0"/>
    <w:next w:val="a0"/>
    <w:autoRedefine/>
    <w:uiPriority w:val="39"/>
    <w:unhideWhenUsed/>
    <w:rsid w:val="003F39BC"/>
    <w:pPr>
      <w:spacing w:after="100"/>
      <w:ind w:left="880"/>
    </w:pPr>
    <w:rPr>
      <w:rFonts w:eastAsiaTheme="minorEastAsia"/>
      <w:lang w:eastAsia="ru-RU"/>
    </w:rPr>
  </w:style>
  <w:style w:type="paragraph" w:styleId="62">
    <w:name w:val="toc 6"/>
    <w:basedOn w:val="a0"/>
    <w:next w:val="a0"/>
    <w:autoRedefine/>
    <w:uiPriority w:val="39"/>
    <w:unhideWhenUsed/>
    <w:rsid w:val="003F39BC"/>
    <w:pPr>
      <w:spacing w:after="100"/>
      <w:ind w:left="1100"/>
    </w:pPr>
    <w:rPr>
      <w:rFonts w:eastAsiaTheme="minorEastAsia"/>
      <w:lang w:eastAsia="ru-RU"/>
    </w:rPr>
  </w:style>
  <w:style w:type="paragraph" w:styleId="71">
    <w:name w:val="toc 7"/>
    <w:basedOn w:val="a0"/>
    <w:next w:val="a0"/>
    <w:autoRedefine/>
    <w:uiPriority w:val="39"/>
    <w:unhideWhenUsed/>
    <w:rsid w:val="003F39BC"/>
    <w:pPr>
      <w:spacing w:after="100"/>
      <w:ind w:left="1320"/>
    </w:pPr>
    <w:rPr>
      <w:rFonts w:eastAsiaTheme="minorEastAsia"/>
      <w:lang w:eastAsia="ru-RU"/>
    </w:rPr>
  </w:style>
  <w:style w:type="paragraph" w:styleId="81">
    <w:name w:val="toc 8"/>
    <w:basedOn w:val="a0"/>
    <w:next w:val="a0"/>
    <w:autoRedefine/>
    <w:uiPriority w:val="39"/>
    <w:unhideWhenUsed/>
    <w:rsid w:val="003F39BC"/>
    <w:pPr>
      <w:spacing w:after="100"/>
      <w:ind w:left="1540"/>
    </w:pPr>
    <w:rPr>
      <w:rFonts w:eastAsiaTheme="minorEastAsia"/>
      <w:lang w:eastAsia="ru-RU"/>
    </w:rPr>
  </w:style>
  <w:style w:type="paragraph" w:styleId="91">
    <w:name w:val="toc 9"/>
    <w:basedOn w:val="a0"/>
    <w:next w:val="a0"/>
    <w:autoRedefine/>
    <w:uiPriority w:val="39"/>
    <w:unhideWhenUsed/>
    <w:rsid w:val="003F39BC"/>
    <w:pPr>
      <w:spacing w:after="100"/>
      <w:ind w:left="1760"/>
    </w:pPr>
    <w:rPr>
      <w:rFonts w:eastAsiaTheme="minorEastAsia"/>
      <w:lang w:eastAsia="ru-RU"/>
    </w:rPr>
  </w:style>
  <w:style w:type="paragraph" w:customStyle="1" w:styleId="Pa35">
    <w:name w:val="Pa35"/>
    <w:basedOn w:val="Default"/>
    <w:next w:val="Default"/>
    <w:uiPriority w:val="99"/>
    <w:rsid w:val="003F39BC"/>
    <w:pPr>
      <w:spacing w:line="181" w:lineRule="atLeast"/>
    </w:pPr>
    <w:rPr>
      <w:rFonts w:ascii="Stem Text" w:eastAsiaTheme="minorHAnsi" w:hAnsi="Stem Text" w:cstheme="minorBidi"/>
      <w:color w:val="auto"/>
    </w:rPr>
  </w:style>
  <w:style w:type="numbering" w:customStyle="1" w:styleId="55">
    <w:name w:val="Нет списка5"/>
    <w:next w:val="a3"/>
    <w:uiPriority w:val="99"/>
    <w:semiHidden/>
    <w:unhideWhenUsed/>
    <w:rsid w:val="003F39BC"/>
  </w:style>
  <w:style w:type="paragraph" w:customStyle="1" w:styleId="ConsPlusNonformat">
    <w:name w:val="ConsPlusNonformat"/>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3F39BC"/>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3F39BC"/>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3F39BC"/>
    <w:pPr>
      <w:widowControl w:val="0"/>
      <w:autoSpaceDE w:val="0"/>
      <w:autoSpaceDN w:val="0"/>
      <w:spacing w:after="0" w:line="240" w:lineRule="auto"/>
    </w:pPr>
    <w:rPr>
      <w:rFonts w:ascii="Tahoma" w:eastAsia="Times New Roman" w:hAnsi="Tahoma" w:cs="Tahoma"/>
      <w:sz w:val="26"/>
      <w:szCs w:val="20"/>
      <w:lang w:eastAsia="ru-RU"/>
    </w:rPr>
  </w:style>
  <w:style w:type="character" w:customStyle="1" w:styleId="afff0">
    <w:name w:val="Без интервала Знак"/>
    <w:basedOn w:val="a1"/>
    <w:link w:val="afff"/>
    <w:uiPriority w:val="1"/>
    <w:rsid w:val="003F39BC"/>
    <w:rPr>
      <w:rFonts w:ascii="Calibri" w:eastAsia="Calibri" w:hAnsi="Calibri" w:cs="Times New Roman"/>
      <w:lang w:eastAsia="ar-SA"/>
    </w:rPr>
  </w:style>
  <w:style w:type="paragraph" w:styleId="afffff8">
    <w:name w:val="TOC Heading"/>
    <w:basedOn w:val="1"/>
    <w:next w:val="a0"/>
    <w:uiPriority w:val="39"/>
    <w:unhideWhenUsed/>
    <w:qFormat/>
    <w:rsid w:val="00847A52"/>
    <w:pPr>
      <w:keepLines/>
      <w:spacing w:before="240" w:line="259" w:lineRule="auto"/>
      <w:jc w:val="left"/>
      <w:outlineLvl w:val="9"/>
    </w:pPr>
    <w:rPr>
      <w:rFonts w:asciiTheme="majorHAnsi" w:eastAsiaTheme="majorEastAsia" w:hAnsiTheme="majorHAnsi" w:cstheme="majorBidi"/>
      <w:b w:val="0"/>
      <w:bCs w:val="0"/>
      <w:color w:val="2E74B5" w:themeColor="accent1" w:themeShade="BF"/>
      <w:sz w:val="32"/>
      <w:szCs w:val="32"/>
    </w:rPr>
  </w:style>
  <w:style w:type="paragraph" w:styleId="afffff9">
    <w:name w:val="caption"/>
    <w:basedOn w:val="a0"/>
    <w:next w:val="a0"/>
    <w:uiPriority w:val="35"/>
    <w:unhideWhenUsed/>
    <w:qFormat/>
    <w:rsid w:val="009A5E23"/>
    <w:pPr>
      <w:spacing w:line="240" w:lineRule="auto"/>
    </w:pPr>
    <w:rPr>
      <w:i/>
      <w:iCs/>
      <w:color w:val="44546A" w:themeColor="text2"/>
      <w:sz w:val="18"/>
      <w:szCs w:val="18"/>
    </w:rPr>
  </w:style>
  <w:style w:type="table" w:customStyle="1" w:styleId="2b">
    <w:name w:val="Сетка таблицы2"/>
    <w:basedOn w:val="a2"/>
    <w:next w:val="af3"/>
    <w:rsid w:val="008C3BEA"/>
    <w:pPr>
      <w:spacing w:after="0" w:line="240" w:lineRule="auto"/>
    </w:pPr>
    <w:rPr>
      <w:rFonts w:ascii="Times New Roman" w:hAnsi="Times New Roman" w:cs="Arial"/>
      <w:color w:val="000000"/>
      <w:sz w:val="28"/>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613861">
      <w:bodyDiv w:val="1"/>
      <w:marLeft w:val="0"/>
      <w:marRight w:val="0"/>
      <w:marTop w:val="0"/>
      <w:marBottom w:val="0"/>
      <w:divBdr>
        <w:top w:val="none" w:sz="0" w:space="0" w:color="auto"/>
        <w:left w:val="none" w:sz="0" w:space="0" w:color="auto"/>
        <w:bottom w:val="none" w:sz="0" w:space="0" w:color="auto"/>
        <w:right w:val="none" w:sz="0" w:space="0" w:color="auto"/>
      </w:divBdr>
    </w:div>
    <w:div w:id="456680116">
      <w:bodyDiv w:val="1"/>
      <w:marLeft w:val="0"/>
      <w:marRight w:val="0"/>
      <w:marTop w:val="0"/>
      <w:marBottom w:val="0"/>
      <w:divBdr>
        <w:top w:val="none" w:sz="0" w:space="0" w:color="auto"/>
        <w:left w:val="none" w:sz="0" w:space="0" w:color="auto"/>
        <w:bottom w:val="none" w:sz="0" w:space="0" w:color="auto"/>
        <w:right w:val="none" w:sz="0" w:space="0" w:color="auto"/>
      </w:divBdr>
    </w:div>
    <w:div w:id="554658173">
      <w:bodyDiv w:val="1"/>
      <w:marLeft w:val="0"/>
      <w:marRight w:val="0"/>
      <w:marTop w:val="0"/>
      <w:marBottom w:val="0"/>
      <w:divBdr>
        <w:top w:val="none" w:sz="0" w:space="0" w:color="auto"/>
        <w:left w:val="none" w:sz="0" w:space="0" w:color="auto"/>
        <w:bottom w:val="none" w:sz="0" w:space="0" w:color="auto"/>
        <w:right w:val="none" w:sz="0" w:space="0" w:color="auto"/>
      </w:divBdr>
    </w:div>
    <w:div w:id="658853212">
      <w:bodyDiv w:val="1"/>
      <w:marLeft w:val="0"/>
      <w:marRight w:val="0"/>
      <w:marTop w:val="0"/>
      <w:marBottom w:val="0"/>
      <w:divBdr>
        <w:top w:val="none" w:sz="0" w:space="0" w:color="auto"/>
        <w:left w:val="none" w:sz="0" w:space="0" w:color="auto"/>
        <w:bottom w:val="none" w:sz="0" w:space="0" w:color="auto"/>
        <w:right w:val="none" w:sz="0" w:space="0" w:color="auto"/>
      </w:divBdr>
    </w:div>
    <w:div w:id="759839209">
      <w:bodyDiv w:val="1"/>
      <w:marLeft w:val="0"/>
      <w:marRight w:val="0"/>
      <w:marTop w:val="0"/>
      <w:marBottom w:val="0"/>
      <w:divBdr>
        <w:top w:val="none" w:sz="0" w:space="0" w:color="auto"/>
        <w:left w:val="none" w:sz="0" w:space="0" w:color="auto"/>
        <w:bottom w:val="none" w:sz="0" w:space="0" w:color="auto"/>
        <w:right w:val="none" w:sz="0" w:space="0" w:color="auto"/>
      </w:divBdr>
    </w:div>
    <w:div w:id="974069520">
      <w:bodyDiv w:val="1"/>
      <w:marLeft w:val="0"/>
      <w:marRight w:val="0"/>
      <w:marTop w:val="0"/>
      <w:marBottom w:val="0"/>
      <w:divBdr>
        <w:top w:val="none" w:sz="0" w:space="0" w:color="auto"/>
        <w:left w:val="none" w:sz="0" w:space="0" w:color="auto"/>
        <w:bottom w:val="none" w:sz="0" w:space="0" w:color="auto"/>
        <w:right w:val="none" w:sz="0" w:space="0" w:color="auto"/>
      </w:divBdr>
    </w:div>
    <w:div w:id="1069810047">
      <w:bodyDiv w:val="1"/>
      <w:marLeft w:val="0"/>
      <w:marRight w:val="0"/>
      <w:marTop w:val="0"/>
      <w:marBottom w:val="0"/>
      <w:divBdr>
        <w:top w:val="none" w:sz="0" w:space="0" w:color="auto"/>
        <w:left w:val="none" w:sz="0" w:space="0" w:color="auto"/>
        <w:bottom w:val="none" w:sz="0" w:space="0" w:color="auto"/>
        <w:right w:val="none" w:sz="0" w:space="0" w:color="auto"/>
      </w:divBdr>
    </w:div>
    <w:div w:id="1124035706">
      <w:bodyDiv w:val="1"/>
      <w:marLeft w:val="0"/>
      <w:marRight w:val="0"/>
      <w:marTop w:val="0"/>
      <w:marBottom w:val="0"/>
      <w:divBdr>
        <w:top w:val="none" w:sz="0" w:space="0" w:color="auto"/>
        <w:left w:val="none" w:sz="0" w:space="0" w:color="auto"/>
        <w:bottom w:val="none" w:sz="0" w:space="0" w:color="auto"/>
        <w:right w:val="none" w:sz="0" w:space="0" w:color="auto"/>
      </w:divBdr>
    </w:div>
    <w:div w:id="1764522183">
      <w:bodyDiv w:val="1"/>
      <w:marLeft w:val="0"/>
      <w:marRight w:val="0"/>
      <w:marTop w:val="0"/>
      <w:marBottom w:val="0"/>
      <w:divBdr>
        <w:top w:val="none" w:sz="0" w:space="0" w:color="auto"/>
        <w:left w:val="none" w:sz="0" w:space="0" w:color="auto"/>
        <w:bottom w:val="none" w:sz="0" w:space="0" w:color="auto"/>
        <w:right w:val="none" w:sz="0" w:space="0" w:color="auto"/>
      </w:divBdr>
    </w:div>
    <w:div w:id="2097549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9" Type="http://schemas.openxmlformats.org/officeDocument/2006/relationships/hyperlink" Target="mailto:info@b1.ru" TargetMode="External"/><Relationship Id="rId21" Type="http://schemas.openxmlformats.org/officeDocument/2006/relationships/chart" Target="charts/chart9.xml"/><Relationship Id="rId34" Type="http://schemas.openxmlformats.org/officeDocument/2006/relationships/hyperlink" Target="http://www.zakupki.gov.ru"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chart" Target="charts/chart17.xm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hyperlink" Target="http://chechenergo.ru/index.php/aktsioneram-i-investoram/ustav-i-vnutrennie-dokumenty/dokumenty-protsedur-korporativnogo-upravleniya" TargetMode="External"/><Relationship Id="rId40" Type="http://schemas.openxmlformats.org/officeDocument/2006/relationships/hyperlink" Target="http://www.chechenergo.ru" TargetMode="Externa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hyperlink" Target="http://www.chechenergo.ru" TargetMode="External"/><Relationship Id="rId10" Type="http://schemas.openxmlformats.org/officeDocument/2006/relationships/header" Target="header1.xml"/><Relationship Id="rId19" Type="http://schemas.openxmlformats.org/officeDocument/2006/relationships/chart" Target="charts/chart7.xml"/><Relationship Id="rId31" Type="http://schemas.openxmlformats.org/officeDocument/2006/relationships/chart" Target="charts/chart19.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hyperlink" Target="http://chechenergo.ru/index.php/aktsioneram-i-investoram/ob-yavleniya" TargetMode="External"/><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hyperlink" Target="https://www.b1.ru"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13.xlsx"/></Relationships>
</file>

<file path=word/charts/_rels/chart15.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package" Target="../embeddings/_____Microsoft_Excel15.xlsx"/><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package" Target="../embeddings/_____Microsoft_Excel16.xlsx"/><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1.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2.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14.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_____Microsoft_Excel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5498050341618522"/>
          <c:y val="7.4654891184037439E-2"/>
          <c:w val="0.46709730474291233"/>
          <c:h val="0.74696579092834281"/>
        </c:manualLayout>
      </c:layout>
      <c:radarChart>
        <c:radarStyle val="marker"/>
        <c:varyColors val="0"/>
        <c:ser>
          <c:idx val="0"/>
          <c:order val="0"/>
          <c:tx>
            <c:strRef>
              <c:f>Лист1!$B$1</c:f>
              <c:strCache>
                <c:ptCount val="1"/>
                <c:pt idx="0">
                  <c:v>Оценка значимости риска</c:v>
                </c:pt>
              </c:strCache>
            </c:strRef>
          </c:tx>
          <c:cat>
            <c:strRef>
              <c:f>Лист1!$A$2:$A$17</c:f>
              <c:strCache>
                <c:ptCount val="16"/>
                <c:pt idx="0">
                  <c:v>Тарифные риски</c:v>
                </c:pt>
                <c:pt idx="1">
                  <c:v>Риск снижения объема услуг по передаче электрической энергии</c:v>
                </c:pt>
                <c:pt idx="2">
                  <c:v>Риски, связанные с предост. услуг технологического присоединения заявителем</c:v>
                </c:pt>
                <c:pt idx="3">
                  <c:v>Риск, связанный с неплат. за оказ. услуги по передаче электрической энергии</c:v>
                </c:pt>
                <c:pt idx="4">
                  <c:v>Риски, связанные с полит. и экон. ситуацией в стране и регионе</c:v>
                </c:pt>
                <c:pt idx="5">
                  <c:v>Риски, связанные с возмож. конфликтами и их проявлениями</c:v>
                </c:pt>
                <c:pt idx="6">
                  <c:v>Риски, связанные с геогр. особенностями страны или региона</c:v>
                </c:pt>
                <c:pt idx="7">
                  <c:v>Риски, связанные с изменением валютных курсов</c:v>
                </c:pt>
                <c:pt idx="8">
                  <c:v>Риски, связанные с изменением процентных ставок</c:v>
                </c:pt>
                <c:pt idx="9">
                  <c:v>Риски, связанные с влиянием инфляции</c:v>
                </c:pt>
                <c:pt idx="10">
                  <c:v>Правовые риски</c:v>
                </c:pt>
                <c:pt idx="11">
                  <c:v>Комплаенс-риск</c:v>
                </c:pt>
                <c:pt idx="12">
                  <c:v>Репутационный риск</c:v>
                </c:pt>
                <c:pt idx="13">
                  <c:v>Стратегический риск</c:v>
                </c:pt>
                <c:pt idx="14">
                  <c:v>Операционно-технологический риск</c:v>
                </c:pt>
                <c:pt idx="15">
                  <c:v>Инвестиционный риск</c:v>
                </c:pt>
              </c:strCache>
            </c:strRef>
          </c:cat>
          <c:val>
            <c:numRef>
              <c:f>Лист1!$B$2:$B$17</c:f>
              <c:numCache>
                <c:formatCode>General</c:formatCode>
                <c:ptCount val="16"/>
                <c:pt idx="0">
                  <c:v>7.5</c:v>
                </c:pt>
                <c:pt idx="1">
                  <c:v>2.5</c:v>
                </c:pt>
                <c:pt idx="2">
                  <c:v>7.5</c:v>
                </c:pt>
                <c:pt idx="3">
                  <c:v>7.5</c:v>
                </c:pt>
                <c:pt idx="4">
                  <c:v>7.5</c:v>
                </c:pt>
                <c:pt idx="5">
                  <c:v>7.5</c:v>
                </c:pt>
                <c:pt idx="6">
                  <c:v>2.5</c:v>
                </c:pt>
                <c:pt idx="7">
                  <c:v>2.5</c:v>
                </c:pt>
                <c:pt idx="8">
                  <c:v>2.5</c:v>
                </c:pt>
                <c:pt idx="9">
                  <c:v>7.5</c:v>
                </c:pt>
                <c:pt idx="10">
                  <c:v>7.5</c:v>
                </c:pt>
                <c:pt idx="11">
                  <c:v>7.5</c:v>
                </c:pt>
                <c:pt idx="12">
                  <c:v>7.5</c:v>
                </c:pt>
                <c:pt idx="13">
                  <c:v>7.5</c:v>
                </c:pt>
                <c:pt idx="14">
                  <c:v>7.5</c:v>
                </c:pt>
                <c:pt idx="15">
                  <c:v>7.5</c:v>
                </c:pt>
              </c:numCache>
            </c:numRef>
          </c:val>
          <c:extLst>
            <c:ext xmlns:c16="http://schemas.microsoft.com/office/drawing/2014/chart" uri="{C3380CC4-5D6E-409C-BE32-E72D297353CC}">
              <c16:uniqueId val="{00000000-60BC-4838-BACA-BA5761055AE3}"/>
            </c:ext>
          </c:extLst>
        </c:ser>
        <c:dLbls>
          <c:showLegendKey val="0"/>
          <c:showVal val="0"/>
          <c:showCatName val="0"/>
          <c:showSerName val="0"/>
          <c:showPercent val="0"/>
          <c:showBubbleSize val="0"/>
        </c:dLbls>
        <c:axId val="168884096"/>
        <c:axId val="168885632"/>
      </c:radarChart>
      <c:catAx>
        <c:axId val="168884096"/>
        <c:scaling>
          <c:orientation val="minMax"/>
        </c:scaling>
        <c:delete val="0"/>
        <c:axPos val="b"/>
        <c:majorGridlines/>
        <c:numFmt formatCode="General" sourceLinked="0"/>
        <c:majorTickMark val="out"/>
        <c:minorTickMark val="none"/>
        <c:tickLblPos val="nextTo"/>
        <c:txPr>
          <a:bodyPr/>
          <a:lstStyle/>
          <a:p>
            <a:pPr>
              <a:defRPr sz="800"/>
            </a:pPr>
            <a:endParaRPr lang="ru-RU"/>
          </a:p>
        </c:txPr>
        <c:crossAx val="168885632"/>
        <c:crosses val="autoZero"/>
        <c:auto val="1"/>
        <c:lblAlgn val="ctr"/>
        <c:lblOffset val="100"/>
        <c:noMultiLvlLbl val="0"/>
      </c:catAx>
      <c:valAx>
        <c:axId val="168885632"/>
        <c:scaling>
          <c:orientation val="minMax"/>
        </c:scaling>
        <c:delete val="0"/>
        <c:axPos val="l"/>
        <c:majorGridlines>
          <c:spPr>
            <a:ln w="19050">
              <a:solidFill>
                <a:srgbClr val="C0504D"/>
              </a:solidFill>
            </a:ln>
          </c:spPr>
        </c:majorGridlines>
        <c:numFmt formatCode="General" sourceLinked="1"/>
        <c:majorTickMark val="cross"/>
        <c:minorTickMark val="none"/>
        <c:tickLblPos val="none"/>
        <c:crossAx val="168884096"/>
        <c:crosses val="autoZero"/>
        <c:crossBetween val="between"/>
        <c:majorUnit val="5"/>
      </c:valAx>
    </c:plotArea>
    <c:legend>
      <c:legendPos val="b"/>
      <c:layout>
        <c:manualLayout>
          <c:xMode val="edge"/>
          <c:yMode val="edge"/>
          <c:x val="0.65441943233683342"/>
          <c:y val="0.92956995760145367"/>
          <c:w val="0.34542652181306072"/>
          <c:h val="7.0430042398546333E-2"/>
        </c:manualLayout>
      </c:layout>
      <c:overlay val="0"/>
      <c:txPr>
        <a:bodyPr/>
        <a:lstStyle/>
        <a:p>
          <a:pPr>
            <a:defRPr sz="800"/>
          </a:pPr>
          <a:endParaRPr lang="ru-RU"/>
        </a:p>
      </c:txPr>
    </c:legend>
    <c:plotVisOnly val="1"/>
    <c:dispBlanksAs val="gap"/>
    <c:showDLblsOverMax val="0"/>
  </c:chart>
  <c:spPr>
    <a:ln>
      <a:noFill/>
    </a:ln>
  </c:sp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094913811449245"/>
          <c:y val="8.1904307416118441E-2"/>
          <c:w val="0.66731148471305957"/>
          <c:h val="0.85508311461067366"/>
        </c:manualLayout>
      </c:layout>
      <c:pieChart>
        <c:varyColors val="1"/>
        <c:ser>
          <c:idx val="0"/>
          <c:order val="0"/>
          <c:tx>
            <c:strRef>
              <c:f>Лист1!$B$1</c:f>
              <c:strCache>
                <c:ptCount val="1"/>
                <c:pt idx="0">
                  <c:v>Столбец1</c:v>
                </c:pt>
              </c:strCache>
            </c:strRef>
          </c:tx>
          <c:explosion val="3"/>
          <c:dPt>
            <c:idx val="0"/>
            <c:bubble3D val="0"/>
            <c:explosion val="0"/>
            <c:spPr>
              <a:solidFill>
                <a:schemeClr val="accent5">
                  <a:tint val="58000"/>
                </a:schemeClr>
              </a:solidFill>
              <a:ln>
                <a:noFill/>
              </a:ln>
              <a:effectLst/>
            </c:spPr>
            <c:extLst>
              <c:ext xmlns:c16="http://schemas.microsoft.com/office/drawing/2014/chart" uri="{C3380CC4-5D6E-409C-BE32-E72D297353CC}">
                <c16:uniqueId val="{00000001-DD1B-4670-A6AC-D6C4E9FA55CE}"/>
              </c:ext>
            </c:extLst>
          </c:dPt>
          <c:dPt>
            <c:idx val="1"/>
            <c:bubble3D val="0"/>
            <c:explosion val="0"/>
            <c:spPr>
              <a:solidFill>
                <a:schemeClr val="accent5">
                  <a:tint val="86000"/>
                </a:schemeClr>
              </a:solidFill>
              <a:ln>
                <a:noFill/>
              </a:ln>
              <a:effectLst/>
            </c:spPr>
            <c:extLst>
              <c:ext xmlns:c16="http://schemas.microsoft.com/office/drawing/2014/chart" uri="{C3380CC4-5D6E-409C-BE32-E72D297353CC}">
                <c16:uniqueId val="{00000003-DD1B-4670-A6AC-D6C4E9FA55CE}"/>
              </c:ext>
            </c:extLst>
          </c:dPt>
          <c:dPt>
            <c:idx val="2"/>
            <c:bubble3D val="0"/>
            <c:explosion val="0"/>
            <c:spPr>
              <a:solidFill>
                <a:schemeClr val="accent5">
                  <a:shade val="86000"/>
                </a:schemeClr>
              </a:solidFill>
              <a:ln>
                <a:noFill/>
              </a:ln>
              <a:effectLst/>
            </c:spPr>
            <c:extLst>
              <c:ext xmlns:c16="http://schemas.microsoft.com/office/drawing/2014/chart" uri="{C3380CC4-5D6E-409C-BE32-E72D297353CC}">
                <c16:uniqueId val="{00000005-DD1B-4670-A6AC-D6C4E9FA55CE}"/>
              </c:ext>
            </c:extLst>
          </c:dPt>
          <c:dPt>
            <c:idx val="3"/>
            <c:bubble3D val="0"/>
            <c:explosion val="0"/>
            <c:spPr>
              <a:solidFill>
                <a:schemeClr val="accent5">
                  <a:shade val="58000"/>
                </a:schemeClr>
              </a:solidFill>
              <a:ln>
                <a:noFill/>
              </a:ln>
              <a:effectLst/>
            </c:spPr>
            <c:extLst>
              <c:ext xmlns:c16="http://schemas.microsoft.com/office/drawing/2014/chart" uri="{C3380CC4-5D6E-409C-BE32-E72D297353CC}">
                <c16:uniqueId val="{00000007-DD1B-4670-A6AC-D6C4E9FA55CE}"/>
              </c:ext>
            </c:extLst>
          </c:dPt>
          <c:dPt>
            <c:idx val="4"/>
            <c:bubble3D val="0"/>
            <c:spPr>
              <a:solidFill>
                <a:schemeClr val="accent5">
                  <a:shade val="53000"/>
                </a:schemeClr>
              </a:solidFill>
              <a:ln>
                <a:noFill/>
              </a:ln>
              <a:effectLst/>
            </c:spPr>
            <c:extLst>
              <c:ext xmlns:c16="http://schemas.microsoft.com/office/drawing/2014/chart" uri="{C3380CC4-5D6E-409C-BE32-E72D297353CC}">
                <c16:uniqueId val="{00000009-DD1B-4670-A6AC-D6C4E9FA55CE}"/>
              </c:ext>
            </c:extLst>
          </c:dPt>
          <c:dLbls>
            <c:dLbl>
              <c:idx val="0"/>
              <c:layout>
                <c:manualLayout>
                  <c:x val="-3.8160190606095499E-3"/>
                  <c:y val="4.08052188781260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1B-4670-A6AC-D6C4E9FA55CE}"/>
                </c:ext>
              </c:extLst>
            </c:dLbl>
            <c:dLbl>
              <c:idx val="1"/>
              <c:layout>
                <c:manualLayout>
                  <c:x val="-7.4563474841235475E-2"/>
                  <c:y val="0.1266584340798287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D1B-4670-A6AC-D6C4E9FA55CE}"/>
                </c:ext>
              </c:extLst>
            </c:dLbl>
            <c:dLbl>
              <c:idx val="2"/>
              <c:layout>
                <c:manualLayout>
                  <c:x val="-0.13638043276086553"/>
                  <c:y val="-0.1603285161575213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D1B-4670-A6AC-D6C4E9FA55CE}"/>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numRef>
              <c:f>Лист1!$A$2:$A$6</c:f>
              <c:numCache>
                <c:formatCode>General</c:formatCode>
                <c:ptCount val="5"/>
              </c:numCache>
            </c:numRef>
          </c:cat>
          <c:val>
            <c:numRef>
              <c:f>Лист1!$B$2:$B$6</c:f>
              <c:numCache>
                <c:formatCode>0.0%</c:formatCode>
                <c:ptCount val="5"/>
                <c:pt idx="0">
                  <c:v>1.3875389905654855E-2</c:v>
                </c:pt>
                <c:pt idx="1">
                  <c:v>8.5319018607246638E-2</c:v>
                </c:pt>
                <c:pt idx="2">
                  <c:v>0.50707652191636221</c:v>
                </c:pt>
                <c:pt idx="3">
                  <c:v>0.20606067768609179</c:v>
                </c:pt>
                <c:pt idx="4">
                  <c:v>0.18878995838210441</c:v>
                </c:pt>
              </c:numCache>
            </c:numRef>
          </c:val>
          <c:extLst>
            <c:ext xmlns:c16="http://schemas.microsoft.com/office/drawing/2014/chart" uri="{C3380CC4-5D6E-409C-BE32-E72D297353CC}">
              <c16:uniqueId val="{0000000A-DD1B-4670-A6AC-D6C4E9FA55CE}"/>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1.9713205897314077E-3"/>
          <c:y val="0"/>
          <c:w val="0.99802860862980147"/>
          <c:h val="0.99346740757007046"/>
        </c:manualLayout>
      </c:layout>
      <c:barChart>
        <c:barDir val="bar"/>
        <c:grouping val="percentStacked"/>
        <c:varyColors val="0"/>
        <c:ser>
          <c:idx val="0"/>
          <c:order val="0"/>
          <c:tx>
            <c:strRef>
              <c:f>Лист1!$B$1</c:f>
              <c:strCache>
                <c:ptCount val="1"/>
                <c:pt idx="0">
                  <c:v>Займы</c:v>
                </c:pt>
              </c:strCache>
            </c:strRef>
          </c:tx>
          <c:spPr>
            <a:solidFill>
              <a:schemeClr val="accent5">
                <a:tint val="54000"/>
              </a:schemeClr>
            </a:solidFill>
            <a:ln>
              <a:noFill/>
            </a:ln>
            <a:effectLst/>
          </c:spPr>
          <c:invertIfNegative val="0"/>
          <c:dLbls>
            <c:dLbl>
              <c:idx val="0"/>
              <c:layout>
                <c:manualLayout>
                  <c:x val="1.9243104554201411E-2"/>
                  <c:y val="1.5958878816396061E-2"/>
                </c:manualLayout>
              </c:layout>
              <c:tx>
                <c:rich>
                  <a:bodyPr/>
                  <a:lstStyle/>
                  <a:p>
                    <a:r>
                      <a:rPr lang="ru-RU"/>
                      <a:t>Собственные средства</a:t>
                    </a:r>
                  </a:p>
                </c:rich>
              </c:tx>
              <c:showLegendKey val="0"/>
              <c:showVal val="1"/>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87E3-4003-B9A8-64067A5B92B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Лист1!$A$2</c:f>
              <c:strCache>
                <c:ptCount val="1"/>
                <c:pt idx="0">
                  <c:v>Категория 1</c:v>
                </c:pt>
              </c:strCache>
            </c:strRef>
          </c:cat>
          <c:val>
            <c:numRef>
              <c:f>Лист1!$B$2</c:f>
              <c:numCache>
                <c:formatCode>General</c:formatCode>
                <c:ptCount val="1"/>
                <c:pt idx="0">
                  <c:v>55.089546339999998</c:v>
                </c:pt>
              </c:numCache>
            </c:numRef>
          </c:val>
          <c:extLst>
            <c:ext xmlns:c16="http://schemas.microsoft.com/office/drawing/2014/chart" uri="{C3380CC4-5D6E-409C-BE32-E72D297353CC}">
              <c16:uniqueId val="{00000001-87E3-4003-B9A8-64067A5B92B8}"/>
            </c:ext>
          </c:extLst>
        </c:ser>
        <c:ser>
          <c:idx val="1"/>
          <c:order val="1"/>
          <c:tx>
            <c:strRef>
              <c:f>Лист1!$C$1</c:f>
              <c:strCache>
                <c:ptCount val="1"/>
                <c:pt idx="0">
                  <c:v>Собственные средства</c:v>
                </c:pt>
              </c:strCache>
            </c:strRef>
          </c:tx>
          <c:spPr>
            <a:solidFill>
              <a:schemeClr val="accent5">
                <a:tint val="77000"/>
              </a:schemeClr>
            </a:solidFill>
            <a:ln>
              <a:noFill/>
            </a:ln>
            <a:effectLst/>
          </c:spPr>
          <c:invertIfNegative val="0"/>
          <c:dPt>
            <c:idx val="0"/>
            <c:invertIfNegative val="0"/>
            <c:bubble3D val="0"/>
            <c:extLst>
              <c:ext xmlns:c16="http://schemas.microsoft.com/office/drawing/2014/chart" uri="{C3380CC4-5D6E-409C-BE32-E72D297353CC}">
                <c16:uniqueId val="{00000002-87E3-4003-B9A8-64067A5B92B8}"/>
              </c:ext>
            </c:extLst>
          </c:dPt>
          <c:dLbls>
            <c:dLbl>
              <c:idx val="0"/>
              <c:layout>
                <c:manualLayout>
                  <c:x val="0.22877913192217234"/>
                  <c:y val="5.9949730186903645E-2"/>
                </c:manualLayout>
              </c:layout>
              <c:tx>
                <c:rich>
                  <a:bodyPr/>
                  <a:lstStyle/>
                  <a:p>
                    <a:r>
                      <a:rPr lang="ru-RU"/>
                      <a:t>Средства доп. фин. поддержки</a:t>
                    </a:r>
                  </a:p>
                  <a:p>
                    <a:endParaRPr lang="ru-RU"/>
                  </a:p>
                </c:rich>
              </c:tx>
              <c:showLegendKey val="0"/>
              <c:showVal val="1"/>
              <c:showCatName val="0"/>
              <c:showSerName val="1"/>
              <c:showPercent val="0"/>
              <c:showBubbleSize val="0"/>
              <c:extLst>
                <c:ext xmlns:c15="http://schemas.microsoft.com/office/drawing/2012/chart" uri="{CE6537A1-D6FC-4f65-9D91-7224C49458BB}">
                  <c15:layout>
                    <c:manualLayout>
                      <c:w val="0.32379730596536244"/>
                      <c:h val="0.41467473524962178"/>
                    </c:manualLayout>
                  </c15:layout>
                </c:ext>
                <c:ext xmlns:c16="http://schemas.microsoft.com/office/drawing/2014/chart" uri="{C3380CC4-5D6E-409C-BE32-E72D297353CC}">
                  <c16:uniqueId val="{00000002-87E3-4003-B9A8-64067A5B92B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Лист1!$C$2</c:f>
              <c:numCache>
                <c:formatCode>General</c:formatCode>
                <c:ptCount val="1"/>
                <c:pt idx="0">
                  <c:v>338.7426271409999</c:v>
                </c:pt>
              </c:numCache>
            </c:numRef>
          </c:val>
          <c:extLst>
            <c:ext xmlns:c16="http://schemas.microsoft.com/office/drawing/2014/chart" uri="{C3380CC4-5D6E-409C-BE32-E72D297353CC}">
              <c16:uniqueId val="{00000003-87E3-4003-B9A8-64067A5B92B8}"/>
            </c:ext>
          </c:extLst>
        </c:ser>
        <c:ser>
          <c:idx val="2"/>
          <c:order val="2"/>
          <c:tx>
            <c:strRef>
              <c:f>Лист1!$D$1</c:f>
              <c:strCache>
                <c:ptCount val="1"/>
                <c:pt idx="0">
                  <c:v>Cредства доп. фин. Поддержки</c:v>
                </c:pt>
              </c:strCache>
            </c:strRef>
          </c:tx>
          <c:spPr>
            <a:solidFill>
              <a:schemeClr val="accent5"/>
            </a:solidFill>
            <a:ln>
              <a:noFill/>
            </a:ln>
            <a:effectLst/>
          </c:spPr>
          <c:invertIfNegative val="0"/>
          <c:dPt>
            <c:idx val="0"/>
            <c:invertIfNegative val="0"/>
            <c:bubble3D val="0"/>
            <c:extLst>
              <c:ext xmlns:c16="http://schemas.microsoft.com/office/drawing/2014/chart" uri="{C3380CC4-5D6E-409C-BE32-E72D297353CC}">
                <c16:uniqueId val="{00000004-87E3-4003-B9A8-64067A5B92B8}"/>
              </c:ext>
            </c:extLst>
          </c:dPt>
          <c:dLbls>
            <c:dLbl>
              <c:idx val="0"/>
              <c:layout>
                <c:manualLayout>
                  <c:x val="0.36427441037477748"/>
                  <c:y val="5.7304013246453123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ru-RU" baseline="0"/>
                      <a:t>Средства федерального бюджета</a:t>
                    </a:r>
                  </a:p>
                  <a:p>
                    <a:pPr>
                      <a:defRPr/>
                    </a:pPr>
                    <a:endParaRPr lang="ru-RU"/>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endParaRPr lang="ru-RU"/>
                </a:p>
              </c:txPr>
              <c:dLblPos val="ctr"/>
              <c:showLegendKey val="0"/>
              <c:showVal val="1"/>
              <c:showCatName val="0"/>
              <c:showSerName val="1"/>
              <c:showPercent val="0"/>
              <c:showBubbleSize val="0"/>
              <c:separator> </c:separator>
              <c:extLst>
                <c:ext xmlns:c15="http://schemas.microsoft.com/office/drawing/2012/chart" uri="{CE6537A1-D6FC-4f65-9D91-7224C49458BB}">
                  <c15:layout>
                    <c:manualLayout>
                      <c:w val="0.2634268214869549"/>
                      <c:h val="0.71038274149165548"/>
                    </c:manualLayout>
                  </c15:layout>
                </c:ext>
                <c:ext xmlns:c16="http://schemas.microsoft.com/office/drawing/2014/chart" uri="{C3380CC4-5D6E-409C-BE32-E72D297353CC}">
                  <c16:uniqueId val="{00000004-87E3-4003-B9A8-64067A5B92B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Лист1!$D$2</c:f>
              <c:numCache>
                <c:formatCode>General</c:formatCode>
                <c:ptCount val="1"/>
                <c:pt idx="0">
                  <c:v>2013.2490504395</c:v>
                </c:pt>
              </c:numCache>
            </c:numRef>
          </c:val>
          <c:extLst>
            <c:ext xmlns:c16="http://schemas.microsoft.com/office/drawing/2014/chart" uri="{C3380CC4-5D6E-409C-BE32-E72D297353CC}">
              <c16:uniqueId val="{00000005-87E3-4003-B9A8-64067A5B92B8}"/>
            </c:ext>
          </c:extLst>
        </c:ser>
        <c:ser>
          <c:idx val="3"/>
          <c:order val="3"/>
          <c:tx>
            <c:strRef>
              <c:f>Лист1!$E$1</c:f>
              <c:strCache>
                <c:ptCount val="1"/>
                <c:pt idx="0">
                  <c:v>Средства федерального бюджета</c:v>
                </c:pt>
              </c:strCache>
            </c:strRef>
          </c:tx>
          <c:spPr>
            <a:solidFill>
              <a:schemeClr val="accent5">
                <a:shade val="76000"/>
              </a:schemeClr>
            </a:solidFill>
            <a:ln>
              <a:noFill/>
            </a:ln>
            <a:effectLst/>
          </c:spPr>
          <c:invertIfNegative val="0"/>
          <c:dLbls>
            <c:dLbl>
              <c:idx val="0"/>
              <c:layout>
                <c:manualLayout>
                  <c:x val="0.19913195584355661"/>
                  <c:y val="-1.5160756191406482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r>
                      <a:rPr lang="ru-RU"/>
                      <a:t>Плата                                       за ТП</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0.16463949062172231"/>
                      <c:h val="0.62584845199947581"/>
                    </c:manualLayout>
                  </c15:layout>
                </c:ext>
                <c:ext xmlns:c16="http://schemas.microsoft.com/office/drawing/2014/chart" uri="{C3380CC4-5D6E-409C-BE32-E72D297353CC}">
                  <c16:uniqueId val="{00000006-87E3-4003-B9A8-64067A5B92B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Категория 1</c:v>
                </c:pt>
              </c:strCache>
            </c:strRef>
          </c:cat>
          <c:val>
            <c:numRef>
              <c:f>Лист1!$E$2</c:f>
              <c:numCache>
                <c:formatCode>General</c:formatCode>
                <c:ptCount val="1"/>
                <c:pt idx="0">
                  <c:v>818.12398278000001</c:v>
                </c:pt>
              </c:numCache>
            </c:numRef>
          </c:val>
          <c:extLst>
            <c:ext xmlns:c16="http://schemas.microsoft.com/office/drawing/2014/chart" uri="{C3380CC4-5D6E-409C-BE32-E72D297353CC}">
              <c16:uniqueId val="{00000007-87E3-4003-B9A8-64067A5B92B8}"/>
            </c:ext>
          </c:extLst>
        </c:ser>
        <c:ser>
          <c:idx val="4"/>
          <c:order val="4"/>
          <c:tx>
            <c:strRef>
              <c:f>Лист1!$F$1</c:f>
              <c:strCache>
                <c:ptCount val="1"/>
                <c:pt idx="0">
                  <c:v>Плата за ТП</c:v>
                </c:pt>
              </c:strCache>
            </c:strRef>
          </c:tx>
          <c:spPr>
            <a:solidFill>
              <a:schemeClr val="accent5">
                <a:shade val="53000"/>
              </a:schemeClr>
            </a:solidFill>
            <a:ln>
              <a:noFill/>
            </a:ln>
            <a:effectLst/>
          </c:spPr>
          <c:invertIfNegative val="0"/>
          <c:cat>
            <c:strRef>
              <c:f>Лист1!$A$2</c:f>
              <c:strCache>
                <c:ptCount val="1"/>
                <c:pt idx="0">
                  <c:v>Категория 1</c:v>
                </c:pt>
              </c:strCache>
            </c:strRef>
          </c:cat>
          <c:val>
            <c:numRef>
              <c:f>Лист1!$F$2</c:f>
              <c:numCache>
                <c:formatCode>General</c:formatCode>
                <c:ptCount val="1"/>
                <c:pt idx="0">
                  <c:v>749.55393913499995</c:v>
                </c:pt>
              </c:numCache>
            </c:numRef>
          </c:val>
          <c:extLst>
            <c:ext xmlns:c16="http://schemas.microsoft.com/office/drawing/2014/chart" uri="{C3380CC4-5D6E-409C-BE32-E72D297353CC}">
              <c16:uniqueId val="{00000008-87E3-4003-B9A8-64067A5B92B8}"/>
            </c:ext>
          </c:extLst>
        </c:ser>
        <c:dLbls>
          <c:showLegendKey val="0"/>
          <c:showVal val="0"/>
          <c:showCatName val="0"/>
          <c:showSerName val="0"/>
          <c:showPercent val="0"/>
          <c:showBubbleSize val="0"/>
        </c:dLbls>
        <c:gapWidth val="150"/>
        <c:overlap val="100"/>
        <c:axId val="169958784"/>
        <c:axId val="170349696"/>
      </c:barChart>
      <c:catAx>
        <c:axId val="169958784"/>
        <c:scaling>
          <c:orientation val="minMax"/>
        </c:scaling>
        <c:delete val="1"/>
        <c:axPos val="l"/>
        <c:numFmt formatCode="General" sourceLinked="0"/>
        <c:majorTickMark val="out"/>
        <c:minorTickMark val="none"/>
        <c:tickLblPos val="nextTo"/>
        <c:crossAx val="170349696"/>
        <c:crosses val="autoZero"/>
        <c:auto val="1"/>
        <c:lblAlgn val="ctr"/>
        <c:lblOffset val="100"/>
        <c:noMultiLvlLbl val="0"/>
      </c:catAx>
      <c:valAx>
        <c:axId val="170349696"/>
        <c:scaling>
          <c:orientation val="minMax"/>
          <c:max val="1"/>
          <c:min val="0"/>
        </c:scaling>
        <c:delete val="1"/>
        <c:axPos val="b"/>
        <c:majorGridlines>
          <c:spPr>
            <a:ln w="6350" cap="flat" cmpd="sng" algn="ctr">
              <a:solidFill>
                <a:schemeClr val="tx1">
                  <a:tint val="75000"/>
                </a:schemeClr>
              </a:solidFill>
              <a:prstDash val="solid"/>
              <a:round/>
            </a:ln>
            <a:effectLst/>
          </c:spPr>
        </c:majorGridlines>
        <c:numFmt formatCode="General" sourceLinked="0"/>
        <c:majorTickMark val="out"/>
        <c:minorTickMark val="none"/>
        <c:tickLblPos val="nextTo"/>
        <c:crossAx val="169958784"/>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439914542433318"/>
          <c:y val="2.5822863766939656E-2"/>
          <c:w val="0.83899877115686805"/>
          <c:h val="0.85539731810005892"/>
        </c:manualLayout>
      </c:layout>
      <c:barChart>
        <c:barDir val="col"/>
        <c:grouping val="clustered"/>
        <c:varyColors val="0"/>
        <c:ser>
          <c:idx val="2"/>
          <c:order val="0"/>
          <c:tx>
            <c:strRef>
              <c:f>Лист1!$B$1</c:f>
              <c:strCache>
                <c:ptCount val="1"/>
                <c:pt idx="0">
                  <c:v>Финансирование</c:v>
                </c:pt>
              </c:strCache>
            </c:strRef>
          </c:tx>
          <c:spPr>
            <a:solidFill>
              <a:schemeClr val="accent5">
                <a:shade val="65000"/>
              </a:schemeClr>
            </a:solidFill>
            <a:ln>
              <a:noFill/>
            </a:ln>
            <a:effectLst/>
          </c:spPr>
          <c:invertIfNegative val="0"/>
          <c:dPt>
            <c:idx val="0"/>
            <c:invertIfNegative val="0"/>
            <c:bubble3D val="0"/>
            <c:spPr>
              <a:solidFill>
                <a:schemeClr val="accent5">
                  <a:shade val="65000"/>
                </a:schemeClr>
              </a:solidFill>
              <a:ln>
                <a:noFill/>
              </a:ln>
              <a:effectLst/>
            </c:spPr>
            <c:extLst>
              <c:ext xmlns:c16="http://schemas.microsoft.com/office/drawing/2014/chart" uri="{C3380CC4-5D6E-409C-BE32-E72D297353CC}">
                <c16:uniqueId val="{00000001-CE3A-4BDB-B2F3-C00CC7A0C0B0}"/>
              </c:ext>
            </c:extLst>
          </c:dPt>
          <c:dLbls>
            <c:dLbl>
              <c:idx val="0"/>
              <c:layout>
                <c:manualLayout>
                  <c:x val="0"/>
                  <c:y val="1.660598174357125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3A-4BDB-B2F3-C00CC7A0C0B0}"/>
                </c:ext>
              </c:extLst>
            </c:dLbl>
            <c:dLbl>
              <c:idx val="1"/>
              <c:layout>
                <c:manualLayout>
                  <c:x val="-2.1381227282446015E-3"/>
                  <c:y val="9.411976813002813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3A-4BDB-B2F3-C00CC7A0C0B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2024</c:v>
                </c:pt>
                <c:pt idx="1">
                  <c:v>2025</c:v>
                </c:pt>
                <c:pt idx="2">
                  <c:v>2026</c:v>
                </c:pt>
                <c:pt idx="3">
                  <c:v>2027</c:v>
                </c:pt>
              </c:numCache>
            </c:numRef>
          </c:cat>
          <c:val>
            <c:numRef>
              <c:f>Лист1!$B$2:$B$5</c:f>
              <c:numCache>
                <c:formatCode>0</c:formatCode>
                <c:ptCount val="4"/>
                <c:pt idx="0">
                  <c:v>4140.68207605712</c:v>
                </c:pt>
                <c:pt idx="1">
                  <c:v>1961.8583460349121</c:v>
                </c:pt>
                <c:pt idx="2">
                  <c:v>151.81998708015769</c:v>
                </c:pt>
                <c:pt idx="3">
                  <c:v>166.38776898579096</c:v>
                </c:pt>
              </c:numCache>
            </c:numRef>
          </c:val>
          <c:extLst>
            <c:ext xmlns:c16="http://schemas.microsoft.com/office/drawing/2014/chart" uri="{C3380CC4-5D6E-409C-BE32-E72D297353CC}">
              <c16:uniqueId val="{00000003-CE3A-4BDB-B2F3-C00CC7A0C0B0}"/>
            </c:ext>
          </c:extLst>
        </c:ser>
        <c:dLbls>
          <c:dLblPos val="inEnd"/>
          <c:showLegendKey val="0"/>
          <c:showVal val="1"/>
          <c:showCatName val="0"/>
          <c:showSerName val="0"/>
          <c:showPercent val="0"/>
          <c:showBubbleSize val="0"/>
        </c:dLbls>
        <c:gapWidth val="219"/>
        <c:overlap val="-27"/>
        <c:axId val="170180992"/>
        <c:axId val="170182528"/>
      </c:barChart>
      <c:catAx>
        <c:axId val="17018099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182528"/>
        <c:crosses val="autoZero"/>
        <c:auto val="1"/>
        <c:lblAlgn val="ctr"/>
        <c:lblOffset val="100"/>
        <c:noMultiLvlLbl val="0"/>
      </c:catAx>
      <c:valAx>
        <c:axId val="170182528"/>
        <c:scaling>
          <c:orientation val="minMax"/>
          <c:max val="5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180992"/>
        <c:crosses val="autoZero"/>
        <c:crossBetween val="between"/>
        <c:majorUnit val="1000"/>
        <c:minorUnit val="1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533843393542747"/>
          <c:y val="5.743331259260586E-2"/>
          <c:w val="0.77949148918368671"/>
          <c:h val="0.79446177812196439"/>
        </c:manualLayout>
      </c:layout>
      <c:barChart>
        <c:barDir val="col"/>
        <c:grouping val="clustered"/>
        <c:varyColors val="0"/>
        <c:ser>
          <c:idx val="0"/>
          <c:order val="0"/>
          <c:tx>
            <c:strRef>
              <c:f>Лист1!$B$1</c:f>
              <c:strCache>
                <c:ptCount val="1"/>
                <c:pt idx="0">
                  <c:v>КВЛ</c:v>
                </c:pt>
              </c:strCache>
            </c:strRef>
          </c:tx>
          <c:spPr>
            <a:solidFill>
              <a:schemeClr val="accent5">
                <a:tint val="77000"/>
              </a:schemeClr>
            </a:solidFill>
            <a:ln>
              <a:noFill/>
            </a:ln>
            <a:effectLst/>
          </c:spPr>
          <c:invertIfNegative val="0"/>
          <c:dLbls>
            <c:dLbl>
              <c:idx val="0"/>
              <c:layout>
                <c:manualLayout>
                  <c:x val="-2.2248678769168473E-2"/>
                  <c:y val="-1.13739434490558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37-47D6-9552-80594D1DD118}"/>
                </c:ext>
              </c:extLst>
            </c:dLbl>
            <c:dLbl>
              <c:idx val="1"/>
              <c:layout>
                <c:manualLayout>
                  <c:x val="-4.5492488621404498E-3"/>
                  <c:y val="-2.42517055985698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37-47D6-9552-80594D1DD118}"/>
                </c:ext>
              </c:extLst>
            </c:dLbl>
            <c:dLbl>
              <c:idx val="2"/>
              <c:layout>
                <c:manualLayout>
                  <c:x val="2.0948111413080666E-3"/>
                  <c:y val="2.07760966440129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F37-47D6-9552-80594D1DD118}"/>
                </c:ext>
              </c:extLst>
            </c:dLbl>
            <c:dLbl>
              <c:idx val="3"/>
              <c:layout>
                <c:manualLayout>
                  <c:x val="-1.8610812334598061E-4"/>
                  <c:y val="-2.18704402350373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37-47D6-9552-80594D1DD118}"/>
                </c:ext>
              </c:extLst>
            </c:dLbl>
            <c:dLbl>
              <c:idx val="4"/>
              <c:layout>
                <c:manualLayout>
                  <c:x val="-1.8833412246826811E-3"/>
                  <c:y val="-8.9683593390559068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37-47D6-9552-80594D1DD118}"/>
                </c:ext>
              </c:extLst>
            </c:dLbl>
            <c:dLbl>
              <c:idx val="5"/>
              <c:layout>
                <c:manualLayout>
                  <c:x val="-2.021800063607988E-2"/>
                  <c:y val="-3.97319003986955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37-47D6-9552-80594D1DD118}"/>
                </c:ext>
              </c:extLst>
            </c:dLbl>
            <c:dLbl>
              <c:idx val="6"/>
              <c:layout>
                <c:manualLayout>
                  <c:x val="-1.798763350196731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37-47D6-9552-80594D1DD1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pt idx="2">
                  <c:v>2026</c:v>
                </c:pt>
                <c:pt idx="3">
                  <c:v>2027</c:v>
                </c:pt>
              </c:numCache>
            </c:numRef>
          </c:cat>
          <c:val>
            <c:numRef>
              <c:f>Лист1!$B$2:$B$5</c:f>
              <c:numCache>
                <c:formatCode>0</c:formatCode>
                <c:ptCount val="4"/>
                <c:pt idx="0">
                  <c:v>3418.881463983867</c:v>
                </c:pt>
                <c:pt idx="1">
                  <c:v>1552.3195431417732</c:v>
                </c:pt>
                <c:pt idx="2">
                  <c:v>125.83305594831199</c:v>
                </c:pt>
                <c:pt idx="3">
                  <c:v>107.21377503602397</c:v>
                </c:pt>
              </c:numCache>
            </c:numRef>
          </c:val>
          <c:extLst>
            <c:ext xmlns:c16="http://schemas.microsoft.com/office/drawing/2014/chart" uri="{C3380CC4-5D6E-409C-BE32-E72D297353CC}">
              <c16:uniqueId val="{00000007-CF37-47D6-9552-80594D1DD118}"/>
            </c:ext>
          </c:extLst>
        </c:ser>
        <c:ser>
          <c:idx val="1"/>
          <c:order val="1"/>
          <c:tx>
            <c:strRef>
              <c:f>Лист1!$C$1</c:f>
              <c:strCache>
                <c:ptCount val="1"/>
                <c:pt idx="0">
                  <c:v>Ввод</c:v>
                </c:pt>
              </c:strCache>
            </c:strRef>
          </c:tx>
          <c:spPr>
            <a:solidFill>
              <a:srgbClr val="3B64AD"/>
            </a:solidFill>
            <a:ln>
              <a:noFill/>
            </a:ln>
            <a:effectLst/>
          </c:spPr>
          <c:invertIfNegative val="1"/>
          <c:dLbls>
            <c:dLbl>
              <c:idx val="0"/>
              <c:layout>
                <c:manualLayout>
                  <c:x val="7.3085754791599533E-3"/>
                  <c:y val="-2.31008373535946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F37-47D6-9552-80594D1DD118}"/>
                </c:ext>
              </c:extLst>
            </c:dLbl>
            <c:dLbl>
              <c:idx val="1"/>
              <c:layout>
                <c:manualLayout>
                  <c:x val="8.767334740091795E-3"/>
                  <c:y val="-9.06859201030589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F37-47D6-9552-80594D1DD118}"/>
                </c:ext>
              </c:extLst>
            </c:dLbl>
            <c:dLbl>
              <c:idx val="2"/>
              <c:layout>
                <c:manualLayout>
                  <c:x val="1.0944982242183146E-2"/>
                  <c:y val="-4.28700064411830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F37-47D6-9552-80594D1DD118}"/>
                </c:ext>
              </c:extLst>
            </c:dLbl>
            <c:dLbl>
              <c:idx val="3"/>
              <c:layout>
                <c:manualLayout>
                  <c:x val="1.3078109761827132E-2"/>
                  <c:y val="-4.17362270450751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37-47D6-9552-80594D1DD118}"/>
                </c:ext>
              </c:extLst>
            </c:dLbl>
            <c:dLbl>
              <c:idx val="4"/>
              <c:layout>
                <c:manualLayout>
                  <c:x val="1.1242207862703123E-2"/>
                  <c:y val="-4.173622704507512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37-47D6-9552-80594D1DD118}"/>
                </c:ext>
              </c:extLst>
            </c:dLbl>
            <c:dLbl>
              <c:idx val="5"/>
              <c:layout>
                <c:manualLayout>
                  <c:x val="8.9938167509836155E-3"/>
                  <c:y val="-4.86618004866180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F37-47D6-9552-80594D1DD118}"/>
                </c:ext>
              </c:extLst>
            </c:dLbl>
            <c:dLbl>
              <c:idx val="6"/>
              <c:layout>
                <c:manualLayout>
                  <c:x val="1.3490725126475547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F37-47D6-9552-80594D1DD1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pt idx="2">
                  <c:v>2026</c:v>
                </c:pt>
                <c:pt idx="3">
                  <c:v>2027</c:v>
                </c:pt>
              </c:numCache>
            </c:numRef>
          </c:cat>
          <c:val>
            <c:numRef>
              <c:f>Лист1!$C$2:$C$5</c:f>
              <c:numCache>
                <c:formatCode>0</c:formatCode>
                <c:ptCount val="4"/>
                <c:pt idx="0">
                  <c:v>6140.1608410664994</c:v>
                </c:pt>
                <c:pt idx="1">
                  <c:v>1626.474198890761</c:v>
                </c:pt>
                <c:pt idx="2">
                  <c:v>127.97208428263608</c:v>
                </c:pt>
                <c:pt idx="3">
                  <c:v>107.21377503602397</c:v>
                </c:pt>
              </c:numCache>
            </c:numRef>
          </c:val>
          <c:extLst>
            <c:ext xmlns:c14="http://schemas.microsoft.com/office/drawing/2007/8/2/chart" uri="{6F2FDCE9-48DA-4B69-8628-5D25D57E5C99}">
              <c14:invertSolidFillFmt>
                <c14:spPr xmlns:c14="http://schemas.microsoft.com/office/drawing/2007/8/2/chart">
                  <a:solidFill>
                    <a:srgbClr val="FFFFFF"/>
                  </a:solidFill>
                  <a:ln>
                    <a:noFill/>
                  </a:ln>
                  <a:effectLst/>
                </c14:spPr>
              </c14:invertSolidFillFmt>
            </c:ext>
            <c:ext xmlns:c16="http://schemas.microsoft.com/office/drawing/2014/chart" uri="{C3380CC4-5D6E-409C-BE32-E72D297353CC}">
              <c16:uniqueId val="{0000000F-CF37-47D6-9552-80594D1DD118}"/>
            </c:ext>
          </c:extLst>
        </c:ser>
        <c:dLbls>
          <c:showLegendKey val="0"/>
          <c:showVal val="0"/>
          <c:showCatName val="0"/>
          <c:showSerName val="0"/>
          <c:showPercent val="0"/>
          <c:showBubbleSize val="0"/>
        </c:dLbls>
        <c:gapWidth val="219"/>
        <c:overlap val="-27"/>
        <c:axId val="170276352"/>
        <c:axId val="170277888"/>
      </c:barChart>
      <c:catAx>
        <c:axId val="17027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277888"/>
        <c:crosses val="autoZero"/>
        <c:auto val="1"/>
        <c:lblAlgn val="ctr"/>
        <c:lblOffset val="100"/>
        <c:noMultiLvlLbl val="0"/>
      </c:catAx>
      <c:valAx>
        <c:axId val="170277888"/>
        <c:scaling>
          <c:orientation val="minMax"/>
          <c:max val="7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0276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Ввод мощности, МВА</c:v>
                </c:pt>
              </c:strCache>
            </c:strRef>
          </c:tx>
          <c:spPr>
            <a:solidFill>
              <a:schemeClr val="accent5">
                <a:tint val="77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2024</c:v>
                </c:pt>
                <c:pt idx="1">
                  <c:v>2025</c:v>
                </c:pt>
                <c:pt idx="2">
                  <c:v>2026</c:v>
                </c:pt>
                <c:pt idx="3">
                  <c:v>2027</c:v>
                </c:pt>
              </c:numCache>
            </c:numRef>
          </c:cat>
          <c:val>
            <c:numRef>
              <c:f>Лист1!$B$2:$B$5</c:f>
              <c:numCache>
                <c:formatCode>0.00</c:formatCode>
                <c:ptCount val="4"/>
                <c:pt idx="0">
                  <c:v>258.77600000000001</c:v>
                </c:pt>
                <c:pt idx="1">
                  <c:v>0</c:v>
                </c:pt>
                <c:pt idx="2">
                  <c:v>0</c:v>
                </c:pt>
                <c:pt idx="3">
                  <c:v>0</c:v>
                </c:pt>
              </c:numCache>
            </c:numRef>
          </c:val>
          <c:extLst>
            <c:ext xmlns:c16="http://schemas.microsoft.com/office/drawing/2014/chart" uri="{C3380CC4-5D6E-409C-BE32-E72D297353CC}">
              <c16:uniqueId val="{00000000-67F2-4CE4-8DD3-627701315F62}"/>
            </c:ext>
          </c:extLst>
        </c:ser>
        <c:ser>
          <c:idx val="1"/>
          <c:order val="1"/>
          <c:tx>
            <c:strRef>
              <c:f>Лист1!$C$1</c:f>
              <c:strCache>
                <c:ptCount val="1"/>
                <c:pt idx="0">
                  <c:v>Ввод мощности, км</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Лист1!$A$2:$A$5</c:f>
              <c:numCache>
                <c:formatCode>General</c:formatCode>
                <c:ptCount val="4"/>
                <c:pt idx="0">
                  <c:v>2024</c:v>
                </c:pt>
                <c:pt idx="1">
                  <c:v>2025</c:v>
                </c:pt>
                <c:pt idx="2">
                  <c:v>2026</c:v>
                </c:pt>
                <c:pt idx="3">
                  <c:v>2027</c:v>
                </c:pt>
              </c:numCache>
            </c:numRef>
          </c:cat>
          <c:val>
            <c:numRef>
              <c:f>Лист1!$C$2:$C$5</c:f>
              <c:numCache>
                <c:formatCode>0.00</c:formatCode>
                <c:ptCount val="4"/>
                <c:pt idx="0">
                  <c:v>1287.76</c:v>
                </c:pt>
                <c:pt idx="1">
                  <c:v>22.32</c:v>
                </c:pt>
                <c:pt idx="2">
                  <c:v>24.5</c:v>
                </c:pt>
                <c:pt idx="3">
                  <c:v>14.5</c:v>
                </c:pt>
              </c:numCache>
            </c:numRef>
          </c:val>
          <c:extLst>
            <c:ext xmlns:c16="http://schemas.microsoft.com/office/drawing/2014/chart" uri="{C3380CC4-5D6E-409C-BE32-E72D297353CC}">
              <c16:uniqueId val="{00000001-67F2-4CE4-8DD3-627701315F62}"/>
            </c:ext>
          </c:extLst>
        </c:ser>
        <c:dLbls>
          <c:showLegendKey val="0"/>
          <c:showVal val="0"/>
          <c:showCatName val="0"/>
          <c:showSerName val="0"/>
          <c:showPercent val="0"/>
          <c:showBubbleSize val="0"/>
        </c:dLbls>
        <c:gapWidth val="219"/>
        <c:overlap val="-27"/>
        <c:axId val="1396901311"/>
        <c:axId val="1396891743"/>
      </c:barChart>
      <c:catAx>
        <c:axId val="139690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6891743"/>
        <c:crosses val="autoZero"/>
        <c:auto val="1"/>
        <c:lblAlgn val="ctr"/>
        <c:lblOffset val="100"/>
        <c:noMultiLvlLbl val="0"/>
      </c:catAx>
      <c:valAx>
        <c:axId val="1396891743"/>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690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202</a:t>
            </a:r>
            <a:r>
              <a:rPr lang="ru-RU"/>
              <a:t>1</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pieChart>
        <c:varyColors val="1"/>
        <c:ser>
          <c:idx val="0"/>
          <c:order val="0"/>
          <c:tx>
            <c:strRef>
              <c:f>Лист1!$B$1</c:f>
              <c:strCache>
                <c:ptCount val="1"/>
                <c:pt idx="0">
                  <c:v>2021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467-4F3F-84EF-32EB8A236F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467-4F3F-84EF-32EB8A236FC5}"/>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howLeaderLines val="1"/>
            <c:leaderLines>
              <c:spPr>
                <a:ln w="9525">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НВВ Чеченэнерго</c:v>
                </c:pt>
                <c:pt idx="1">
                  <c:v>НВВ ТСО</c:v>
                </c:pt>
              </c:strCache>
            </c:strRef>
          </c:cat>
          <c:val>
            <c:numRef>
              <c:f>Лист1!$B$2:$B$3</c:f>
              <c:numCache>
                <c:formatCode>0.0%</c:formatCode>
                <c:ptCount val="2"/>
                <c:pt idx="0">
                  <c:v>0.98199999999999998</c:v>
                </c:pt>
                <c:pt idx="1">
                  <c:v>1.7999999999999999E-2</c:v>
                </c:pt>
              </c:numCache>
            </c:numRef>
          </c:val>
          <c:extLst>
            <c:ext xmlns:c16="http://schemas.microsoft.com/office/drawing/2014/chart" uri="{C3380CC4-5D6E-409C-BE32-E72D297353CC}">
              <c16:uniqueId val="{00000004-F467-4F3F-84EF-32EB8A236FC5}"/>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202</a:t>
            </a:r>
            <a:r>
              <a:rPr lang="ru-RU"/>
              <a:t>2</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pieChart>
        <c:varyColors val="1"/>
        <c:ser>
          <c:idx val="0"/>
          <c:order val="0"/>
          <c:tx>
            <c:strRef>
              <c:f>Лист1!$B$1</c:f>
              <c:strCache>
                <c:ptCount val="1"/>
                <c:pt idx="0">
                  <c:v>2022</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C421-4CFB-992C-85D65D91B37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421-4CFB-992C-85D65D91B37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howLeaderLines val="1"/>
            <c:leaderLines>
              <c:spPr>
                <a:ln w="9525">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НВВ Чеченэнерго</c:v>
                </c:pt>
                <c:pt idx="1">
                  <c:v>НВВ ТСО</c:v>
                </c:pt>
              </c:strCache>
            </c:strRef>
          </c:cat>
          <c:val>
            <c:numRef>
              <c:f>Лист1!$B$2:$B$3</c:f>
              <c:numCache>
                <c:formatCode>0.0%</c:formatCode>
                <c:ptCount val="2"/>
                <c:pt idx="0">
                  <c:v>0.996</c:v>
                </c:pt>
                <c:pt idx="1">
                  <c:v>4.0000000000000001E-3</c:v>
                </c:pt>
              </c:numCache>
            </c:numRef>
          </c:val>
          <c:extLst>
            <c:ext xmlns:c16="http://schemas.microsoft.com/office/drawing/2014/chart" uri="{C3380CC4-5D6E-409C-BE32-E72D297353CC}">
              <c16:uniqueId val="{00000004-C421-4CFB-992C-85D65D91B37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14878091458079934"/>
          <c:y val="0.86681153938727085"/>
          <c:w val="0.82167893647440426"/>
          <c:h val="9.8253962796135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2023</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pieChart>
        <c:varyColors val="1"/>
        <c:ser>
          <c:idx val="0"/>
          <c:order val="0"/>
          <c:tx>
            <c:strRef>
              <c:f>Лист1!$B$1</c:f>
              <c:strCache>
                <c:ptCount val="1"/>
                <c:pt idx="0">
                  <c:v>2023</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65E-4CB2-AF89-11650453565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65E-4CB2-AF89-11650453565D}"/>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showLeaderLines val="1"/>
            <c:leaderLines>
              <c:spPr>
                <a:ln w="9525">
                  <a:solidFill>
                    <a:schemeClr val="tx1">
                      <a:lumMod val="35000"/>
                      <a:lumOff val="65000"/>
                    </a:schemeClr>
                  </a:solidFill>
                  <a:round/>
                </a:ln>
                <a:effectLst/>
              </c:spPr>
            </c:leaderLines>
            <c:extLst>
              <c:ext xmlns:c15="http://schemas.microsoft.com/office/drawing/2012/chart" uri="{CE6537A1-D6FC-4f65-9D91-7224C49458BB}"/>
            </c:extLst>
          </c:dLbls>
          <c:cat>
            <c:strRef>
              <c:f>Лист1!$A$2:$A$3</c:f>
              <c:strCache>
                <c:ptCount val="2"/>
                <c:pt idx="0">
                  <c:v>НВВ Россети СК</c:v>
                </c:pt>
                <c:pt idx="1">
                  <c:v>НВВ ТСО</c:v>
                </c:pt>
              </c:strCache>
            </c:strRef>
          </c:cat>
          <c:val>
            <c:numRef>
              <c:f>Лист1!$B$2:$B$3</c:f>
              <c:numCache>
                <c:formatCode>0.0%</c:formatCode>
                <c:ptCount val="2"/>
                <c:pt idx="0">
                  <c:v>0.98299999999999998</c:v>
                </c:pt>
                <c:pt idx="1">
                  <c:v>1.7000000000000001E-2</c:v>
                </c:pt>
              </c:numCache>
            </c:numRef>
          </c:val>
          <c:extLst>
            <c:ext xmlns:c16="http://schemas.microsoft.com/office/drawing/2014/chart" uri="{C3380CC4-5D6E-409C-BE32-E72D297353CC}">
              <c16:uniqueId val="{00000004-D65E-4CB2-AF89-11650453565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74755428298735"/>
          <c:y val="0.10134659685111246"/>
          <c:w val="0.86758577905034595"/>
          <c:h val="0.71561685779692874"/>
        </c:manualLayout>
      </c:layout>
      <c:barChart>
        <c:barDir val="col"/>
        <c:grouping val="clustered"/>
        <c:varyColors val="0"/>
        <c:ser>
          <c:idx val="0"/>
          <c:order val="0"/>
          <c:tx>
            <c:strRef>
              <c:f>Лист1!$B$1</c:f>
              <c:strCache>
                <c:ptCount val="1"/>
                <c:pt idx="0">
                  <c:v>Ряд 1</c:v>
                </c:pt>
              </c:strCache>
            </c:strRef>
          </c:tx>
          <c:spPr>
            <a:solidFill>
              <a:schemeClr val="accent1"/>
            </a:solidFill>
            <a:ln>
              <a:noFill/>
            </a:ln>
            <a:effectLst/>
          </c:spPr>
          <c:invertIfNegative val="0"/>
          <c:dLbls>
            <c:dLbl>
              <c:idx val="1"/>
              <c:tx>
                <c:rich>
                  <a:bodyPr/>
                  <a:lstStyle/>
                  <a:p>
                    <a:r>
                      <a:rPr lang="en-US"/>
                      <a:t>2378,8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22-419A-ADEF-AB5B092AF2B0}"/>
                </c:ext>
              </c:extLst>
            </c:dLbl>
            <c:dLbl>
              <c:idx val="2"/>
              <c:layout>
                <c:manualLayout>
                  <c:x val="0"/>
                  <c:y val="-5.5700239730323122E-3"/>
                </c:manualLayout>
              </c:layout>
              <c:tx>
                <c:rich>
                  <a:bodyPr/>
                  <a:lstStyle/>
                  <a:p>
                    <a:r>
                      <a:rPr lang="en-US"/>
                      <a:t>2390,4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22-419A-ADEF-AB5B092AF2B0}"/>
                </c:ext>
              </c:extLst>
            </c:dLbl>
            <c:spPr>
              <a:noFill/>
              <a:ln>
                <a:noFill/>
              </a:ln>
              <a:effectLst/>
            </c:spPr>
            <c:txPr>
              <a:bodyPr rot="0" vert="horz"/>
              <a:lstStyle/>
              <a:p>
                <a:pPr>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Лист1!$B$2:$B$4</c:f>
              <c:numCache>
                <c:formatCode>0.0</c:formatCode>
                <c:ptCount val="3"/>
                <c:pt idx="0">
                  <c:v>2371.09733333333</c:v>
                </c:pt>
                <c:pt idx="1">
                  <c:v>2378.7781855316298</c:v>
                </c:pt>
                <c:pt idx="2">
                  <c:v>2390.4</c:v>
                </c:pt>
              </c:numCache>
            </c:numRef>
          </c:val>
          <c:extLst>
            <c:ext xmlns:c16="http://schemas.microsoft.com/office/drawing/2014/chart" uri="{C3380CC4-5D6E-409C-BE32-E72D297353CC}">
              <c16:uniqueId val="{00000002-0522-419A-ADEF-AB5B092AF2B0}"/>
            </c:ext>
          </c:extLst>
        </c:ser>
        <c:dLbls>
          <c:showLegendKey val="0"/>
          <c:showVal val="0"/>
          <c:showCatName val="0"/>
          <c:showSerName val="0"/>
          <c:showPercent val="0"/>
          <c:showBubbleSize val="0"/>
        </c:dLbls>
        <c:gapWidth val="150"/>
        <c:axId val="239023616"/>
        <c:axId val="239025152"/>
      </c:barChart>
      <c:catAx>
        <c:axId val="239023616"/>
        <c:scaling>
          <c:orientation val="minMax"/>
        </c:scaling>
        <c:delete val="0"/>
        <c:axPos val="b"/>
        <c:numFmt formatCode="General" sourceLinked="0"/>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ru-RU"/>
          </a:p>
        </c:txPr>
        <c:crossAx val="239025152"/>
        <c:crosses val="autoZero"/>
        <c:auto val="1"/>
        <c:lblAlgn val="ctr"/>
        <c:lblOffset val="100"/>
        <c:noMultiLvlLbl val="0"/>
      </c:catAx>
      <c:valAx>
        <c:axId val="239025152"/>
        <c:scaling>
          <c:orientation val="minMax"/>
          <c:max val="2400"/>
          <c:min val="2300"/>
        </c:scaling>
        <c:delete val="0"/>
        <c:axPos val="l"/>
        <c:majorGridlines>
          <c:spPr>
            <a:ln w="9525" cap="flat" cmpd="sng" algn="ctr">
              <a:solidFill>
                <a:schemeClr val="tx1">
                  <a:tint val="75000"/>
                  <a:shade val="95000"/>
                  <a:satMod val="105000"/>
                </a:schemeClr>
              </a:solidFill>
              <a:prstDash val="solid"/>
              <a:round/>
            </a:ln>
            <a:effectLst/>
          </c:spPr>
        </c:majorGridlines>
        <c:numFmt formatCode="0.0"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vert="horz"/>
          <a:lstStyle/>
          <a:p>
            <a:pPr>
              <a:defRPr/>
            </a:pPr>
            <a:endParaRPr lang="ru-RU"/>
          </a:p>
        </c:txPr>
        <c:crossAx val="239023616"/>
        <c:crosses val="autoZero"/>
        <c:crossBetween val="between"/>
        <c:majorUnit val="10"/>
      </c:valAx>
      <c:spPr>
        <a:solidFill>
          <a:schemeClr val="bg1"/>
        </a:solid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62330791328249"/>
          <c:y val="5.3822619601219465E-2"/>
          <c:w val="0.63964577262487854"/>
          <c:h val="0.80457496119339034"/>
        </c:manualLayout>
      </c:layout>
      <c:barChart>
        <c:barDir val="col"/>
        <c:grouping val="percentStacked"/>
        <c:varyColors val="0"/>
        <c:ser>
          <c:idx val="0"/>
          <c:order val="0"/>
          <c:tx>
            <c:strRef>
              <c:f>'ЧЭ, возраст'!$A$2</c:f>
              <c:strCache>
                <c:ptCount val="1"/>
                <c:pt idx="0">
                  <c:v>до 35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2021 год</c:v>
                </c:pt>
                <c:pt idx="1">
                  <c:v>2022 год</c:v>
                </c:pt>
                <c:pt idx="2">
                  <c:v>2023 год</c:v>
                </c:pt>
              </c:strCache>
            </c:strRef>
          </c:cat>
          <c:val>
            <c:numRef>
              <c:f>'ЧЭ, возраст'!$B$2:$D$2</c:f>
              <c:numCache>
                <c:formatCode>General</c:formatCode>
                <c:ptCount val="3"/>
                <c:pt idx="0">
                  <c:v>39.89</c:v>
                </c:pt>
                <c:pt idx="1">
                  <c:v>45.23</c:v>
                </c:pt>
                <c:pt idx="2">
                  <c:v>41.16</c:v>
                </c:pt>
              </c:numCache>
            </c:numRef>
          </c:val>
          <c:extLst>
            <c:ext xmlns:c16="http://schemas.microsoft.com/office/drawing/2014/chart" uri="{C3380CC4-5D6E-409C-BE32-E72D297353CC}">
              <c16:uniqueId val="{00000000-8CBF-4D8E-A2F9-CFB70C7C0962}"/>
            </c:ext>
          </c:extLst>
        </c:ser>
        <c:ser>
          <c:idx val="1"/>
          <c:order val="1"/>
          <c:tx>
            <c:strRef>
              <c:f>'ЧЭ, возраст'!$A$3</c:f>
              <c:strCache>
                <c:ptCount val="1"/>
                <c:pt idx="0">
                  <c:v>от 35 до 50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2021 год</c:v>
                </c:pt>
                <c:pt idx="1">
                  <c:v>2022 год</c:v>
                </c:pt>
                <c:pt idx="2">
                  <c:v>2023 год</c:v>
                </c:pt>
              </c:strCache>
            </c:strRef>
          </c:cat>
          <c:val>
            <c:numRef>
              <c:f>'ЧЭ, возраст'!$B$3:$D$3</c:f>
              <c:numCache>
                <c:formatCode>General</c:formatCode>
                <c:ptCount val="3"/>
                <c:pt idx="0">
                  <c:v>36.630000000000003</c:v>
                </c:pt>
                <c:pt idx="1">
                  <c:v>28.49</c:v>
                </c:pt>
                <c:pt idx="2">
                  <c:v>35.590000000000003</c:v>
                </c:pt>
              </c:numCache>
            </c:numRef>
          </c:val>
          <c:extLst>
            <c:ext xmlns:c16="http://schemas.microsoft.com/office/drawing/2014/chart" uri="{C3380CC4-5D6E-409C-BE32-E72D297353CC}">
              <c16:uniqueId val="{00000001-8CBF-4D8E-A2F9-CFB70C7C0962}"/>
            </c:ext>
          </c:extLst>
        </c:ser>
        <c:ser>
          <c:idx val="2"/>
          <c:order val="2"/>
          <c:tx>
            <c:strRef>
              <c:f>'ЧЭ, возраст'!$A$4</c:f>
              <c:strCache>
                <c:ptCount val="1"/>
                <c:pt idx="0">
                  <c:v>старше 50 лет</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возраст'!$B$1:$D$1</c:f>
              <c:strCache>
                <c:ptCount val="3"/>
                <c:pt idx="0">
                  <c:v>2021 год</c:v>
                </c:pt>
                <c:pt idx="1">
                  <c:v>2022 год</c:v>
                </c:pt>
                <c:pt idx="2">
                  <c:v>2023 год</c:v>
                </c:pt>
              </c:strCache>
            </c:strRef>
          </c:cat>
          <c:val>
            <c:numRef>
              <c:f>'ЧЭ, возраст'!$B$4:$D$4</c:f>
              <c:numCache>
                <c:formatCode>General</c:formatCode>
                <c:ptCount val="3"/>
                <c:pt idx="0">
                  <c:v>23.48</c:v>
                </c:pt>
                <c:pt idx="1">
                  <c:v>26.28</c:v>
                </c:pt>
                <c:pt idx="2">
                  <c:v>23.25</c:v>
                </c:pt>
              </c:numCache>
            </c:numRef>
          </c:val>
          <c:extLst>
            <c:ext xmlns:c16="http://schemas.microsoft.com/office/drawing/2014/chart" uri="{C3380CC4-5D6E-409C-BE32-E72D297353CC}">
              <c16:uniqueId val="{00000002-8CBF-4D8E-A2F9-CFB70C7C0962}"/>
            </c:ext>
          </c:extLst>
        </c:ser>
        <c:dLbls>
          <c:showLegendKey val="0"/>
          <c:showVal val="0"/>
          <c:showCatName val="0"/>
          <c:showSerName val="0"/>
          <c:showPercent val="0"/>
          <c:showBubbleSize val="0"/>
        </c:dLbls>
        <c:gapWidth val="40"/>
        <c:overlap val="100"/>
        <c:axId val="238752896"/>
        <c:axId val="238754432"/>
      </c:barChart>
      <c:catAx>
        <c:axId val="238752896"/>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8754432"/>
        <c:crosses val="autoZero"/>
        <c:auto val="1"/>
        <c:lblAlgn val="ctr"/>
        <c:lblOffset val="100"/>
        <c:noMultiLvlLbl val="0"/>
      </c:catAx>
      <c:valAx>
        <c:axId val="238754432"/>
        <c:scaling>
          <c:orientation val="minMax"/>
        </c:scaling>
        <c:delete val="0"/>
        <c:axPos val="l"/>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38752896"/>
        <c:crosses val="autoZero"/>
        <c:crossBetween val="between"/>
      </c:valAx>
    </c:plotArea>
    <c:legend>
      <c:legendPos val="r"/>
      <c:layout>
        <c:manualLayout>
          <c:xMode val="edge"/>
          <c:yMode val="edge"/>
          <c:x val="0.76614655813426713"/>
          <c:y val="0.10926365550839068"/>
          <c:w val="0.20198813730960796"/>
          <c:h val="0.7423283503424883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85848643919509"/>
          <c:y val="7.5659020883259154E-2"/>
          <c:w val="0.67791575532225135"/>
          <c:h val="0.80155842082823126"/>
        </c:manualLayout>
      </c:layout>
      <c:barChart>
        <c:barDir val="col"/>
        <c:grouping val="stacked"/>
        <c:varyColors val="0"/>
        <c:ser>
          <c:idx val="0"/>
          <c:order val="0"/>
          <c:tx>
            <c:strRef>
              <c:f>Лист1!$B$1</c:f>
              <c:strCache>
                <c:ptCount val="1"/>
                <c:pt idx="0">
                  <c:v>НВВ собст.</c:v>
                </c:pt>
              </c:strCache>
            </c:strRef>
          </c:tx>
          <c:spPr>
            <a:solidFill>
              <a:schemeClr val="tx2"/>
            </a:solidFill>
          </c:spPr>
          <c:invertIfNegative val="0"/>
          <c:dLbls>
            <c:numFmt formatCode="#,##0" sourceLinked="0"/>
            <c:spPr>
              <a:noFill/>
              <a:ln w="25274">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Лист1!$B$2:$B$4</c:f>
              <c:numCache>
                <c:formatCode>#,##0</c:formatCode>
                <c:ptCount val="3"/>
                <c:pt idx="0">
                  <c:v>2306.60968</c:v>
                </c:pt>
                <c:pt idx="1">
                  <c:v>2350.6386400000001</c:v>
                </c:pt>
                <c:pt idx="2">
                  <c:v>3250</c:v>
                </c:pt>
              </c:numCache>
            </c:numRef>
          </c:val>
          <c:extLst>
            <c:ext xmlns:c16="http://schemas.microsoft.com/office/drawing/2014/chart" uri="{C3380CC4-5D6E-409C-BE32-E72D297353CC}">
              <c16:uniqueId val="{00000000-E6A9-4F96-B345-9C61E65268FD}"/>
            </c:ext>
          </c:extLst>
        </c:ser>
        <c:ser>
          <c:idx val="1"/>
          <c:order val="1"/>
          <c:tx>
            <c:strRef>
              <c:f>Лист1!$C$1</c:f>
              <c:strCache>
                <c:ptCount val="1"/>
                <c:pt idx="0">
                  <c:v>ЕНЭС</c:v>
                </c:pt>
              </c:strCache>
            </c:strRef>
          </c:tx>
          <c:spPr>
            <a:solidFill>
              <a:schemeClr val="tx2">
                <a:lumMod val="60000"/>
                <a:lumOff val="40000"/>
              </a:schemeClr>
            </a:solidFill>
          </c:spPr>
          <c:invertIfNegative val="0"/>
          <c:dLbls>
            <c:numFmt formatCode="#,##0" sourceLinked="0"/>
            <c:spPr>
              <a:noFill/>
              <a:ln w="25274">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Лист1!$C$2:$C$4</c:f>
              <c:numCache>
                <c:formatCode>#,##0</c:formatCode>
                <c:ptCount val="3"/>
                <c:pt idx="0">
                  <c:v>422.24200000000002</c:v>
                </c:pt>
                <c:pt idx="1">
                  <c:v>322.12219999999996</c:v>
                </c:pt>
                <c:pt idx="2">
                  <c:v>319</c:v>
                </c:pt>
              </c:numCache>
            </c:numRef>
          </c:val>
          <c:extLst>
            <c:ext xmlns:c16="http://schemas.microsoft.com/office/drawing/2014/chart" uri="{C3380CC4-5D6E-409C-BE32-E72D297353CC}">
              <c16:uniqueId val="{00000001-E6A9-4F96-B345-9C61E65268FD}"/>
            </c:ext>
          </c:extLst>
        </c:ser>
        <c:ser>
          <c:idx val="2"/>
          <c:order val="2"/>
          <c:tx>
            <c:strRef>
              <c:f>Лист1!$D$1</c:f>
              <c:strCache>
                <c:ptCount val="1"/>
                <c:pt idx="0">
                  <c:v>Потери</c:v>
                </c:pt>
              </c:strCache>
            </c:strRef>
          </c:tx>
          <c:spPr>
            <a:solidFill>
              <a:schemeClr val="accent1">
                <a:lumMod val="60000"/>
                <a:lumOff val="40000"/>
              </a:schemeClr>
            </a:solidFill>
          </c:spPr>
          <c:invertIfNegative val="0"/>
          <c:dLbls>
            <c:numFmt formatCode="#,##0" sourceLinked="0"/>
            <c:spPr>
              <a:noFill/>
              <a:ln w="25274">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Лист1!$D$2:$D$4</c:f>
              <c:numCache>
                <c:formatCode>#,##0</c:formatCode>
                <c:ptCount val="3"/>
                <c:pt idx="0">
                  <c:v>1048.86772</c:v>
                </c:pt>
                <c:pt idx="1">
                  <c:v>1009.1243900000001</c:v>
                </c:pt>
                <c:pt idx="2">
                  <c:v>1356</c:v>
                </c:pt>
              </c:numCache>
            </c:numRef>
          </c:val>
          <c:extLst>
            <c:ext xmlns:c16="http://schemas.microsoft.com/office/drawing/2014/chart" uri="{C3380CC4-5D6E-409C-BE32-E72D297353CC}">
              <c16:uniqueId val="{00000002-E6A9-4F96-B345-9C61E65268FD}"/>
            </c:ext>
          </c:extLst>
        </c:ser>
        <c:ser>
          <c:idx val="3"/>
          <c:order val="3"/>
          <c:tx>
            <c:strRef>
              <c:f>Лист1!$E$1</c:f>
              <c:strCache>
                <c:ptCount val="1"/>
                <c:pt idx="0">
                  <c:v>ТСО</c:v>
                </c:pt>
              </c:strCache>
            </c:strRef>
          </c:tx>
          <c:spPr>
            <a:solidFill>
              <a:schemeClr val="accent1">
                <a:lumMod val="20000"/>
                <a:lumOff val="80000"/>
              </a:schemeClr>
            </a:solidFill>
          </c:spPr>
          <c:invertIfNegative val="0"/>
          <c:cat>
            <c:numRef>
              <c:f>Лист1!$A$2:$A$4</c:f>
              <c:numCache>
                <c:formatCode>General</c:formatCode>
                <c:ptCount val="3"/>
                <c:pt idx="0">
                  <c:v>2021</c:v>
                </c:pt>
                <c:pt idx="1">
                  <c:v>2022</c:v>
                </c:pt>
                <c:pt idx="2">
                  <c:v>2023</c:v>
                </c:pt>
              </c:numCache>
            </c:numRef>
          </c:cat>
          <c:val>
            <c:numRef>
              <c:f>Лист1!$E$2:$E$4</c:f>
              <c:numCache>
                <c:formatCode>General</c:formatCode>
                <c:ptCount val="3"/>
              </c:numCache>
            </c:numRef>
          </c:val>
          <c:extLst>
            <c:ext xmlns:c16="http://schemas.microsoft.com/office/drawing/2014/chart" uri="{C3380CC4-5D6E-409C-BE32-E72D297353CC}">
              <c16:uniqueId val="{00000003-E6A9-4F96-B345-9C61E65268FD}"/>
            </c:ext>
          </c:extLst>
        </c:ser>
        <c:dLbls>
          <c:showLegendKey val="0"/>
          <c:showVal val="0"/>
          <c:showCatName val="0"/>
          <c:showSerName val="0"/>
          <c:showPercent val="0"/>
          <c:showBubbleSize val="0"/>
        </c:dLbls>
        <c:gapWidth val="86"/>
        <c:overlap val="100"/>
        <c:serLines/>
        <c:axId val="100732928"/>
        <c:axId val="100734464"/>
      </c:barChart>
      <c:catAx>
        <c:axId val="100732928"/>
        <c:scaling>
          <c:orientation val="minMax"/>
        </c:scaling>
        <c:delete val="0"/>
        <c:axPos val="b"/>
        <c:numFmt formatCode="General" sourceLinked="1"/>
        <c:majorTickMark val="out"/>
        <c:minorTickMark val="none"/>
        <c:tickLblPos val="nextTo"/>
        <c:crossAx val="100734464"/>
        <c:crosses val="autoZero"/>
        <c:auto val="1"/>
        <c:lblAlgn val="ctr"/>
        <c:lblOffset val="100"/>
        <c:noMultiLvlLbl val="0"/>
      </c:catAx>
      <c:valAx>
        <c:axId val="100734464"/>
        <c:scaling>
          <c:orientation val="minMax"/>
        </c:scaling>
        <c:delete val="0"/>
        <c:axPos val="l"/>
        <c:majorGridlines/>
        <c:title>
          <c:tx>
            <c:rich>
              <a:bodyPr/>
              <a:lstStyle/>
              <a:p>
                <a:pPr>
                  <a:defRPr/>
                </a:pPr>
                <a:r>
                  <a:rPr lang="ru-RU"/>
                  <a:t>млн руб.</a:t>
                </a:r>
              </a:p>
            </c:rich>
          </c:tx>
          <c:layout>
            <c:manualLayout>
              <c:xMode val="edge"/>
              <c:yMode val="edge"/>
              <c:x val="1.3888857418002606E-2"/>
              <c:y val="0.48500730295742323"/>
            </c:manualLayout>
          </c:layout>
          <c:overlay val="0"/>
        </c:title>
        <c:numFmt formatCode="#,##0" sourceLinked="1"/>
        <c:majorTickMark val="out"/>
        <c:minorTickMark val="none"/>
        <c:tickLblPos val="nextTo"/>
        <c:crossAx val="100732928"/>
        <c:crosses val="autoZero"/>
        <c:crossBetween val="between"/>
      </c:valAx>
    </c:plotArea>
    <c:legend>
      <c:legendPos val="r"/>
      <c:overlay val="0"/>
    </c:legend>
    <c:plotVisOnly val="1"/>
    <c:dispBlanksAs val="gap"/>
    <c:showDLblsOverMax val="0"/>
  </c:chart>
  <c:spPr>
    <a:ln>
      <a:noFill/>
    </a:ln>
  </c:spPr>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userShapes r:id="rId3"/>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4810170603674542"/>
          <c:y val="5.0925925925925923E-2"/>
          <c:w val="0.61133180227471562"/>
          <c:h val="0.85624234470691163"/>
        </c:manualLayout>
      </c:layout>
      <c:barChart>
        <c:barDir val="bar"/>
        <c:grouping val="percentStacked"/>
        <c:varyColors val="0"/>
        <c:ser>
          <c:idx val="0"/>
          <c:order val="0"/>
          <c:tx>
            <c:strRef>
              <c:f>'ЧЭ, ГС по категориям'!$D$19</c:f>
              <c:strCache>
                <c:ptCount val="1"/>
                <c:pt idx="0">
                  <c:v>мужчины</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категориям'!$D$20:$D$22</c:f>
              <c:numCache>
                <c:formatCode>General</c:formatCode>
                <c:ptCount val="3"/>
                <c:pt idx="0">
                  <c:v>93.2</c:v>
                </c:pt>
                <c:pt idx="1">
                  <c:v>57.83</c:v>
                </c:pt>
                <c:pt idx="2">
                  <c:v>82.5</c:v>
                </c:pt>
              </c:numCache>
            </c:numRef>
          </c:val>
          <c:extLst>
            <c:ext xmlns:c16="http://schemas.microsoft.com/office/drawing/2014/chart" uri="{C3380CC4-5D6E-409C-BE32-E72D297353CC}">
              <c16:uniqueId val="{00000000-D264-4DB0-919C-B383A1DAE603}"/>
            </c:ext>
          </c:extLst>
        </c:ser>
        <c:ser>
          <c:idx val="1"/>
          <c:order val="1"/>
          <c:tx>
            <c:strRef>
              <c:f>'ЧЭ, ГС по категориям'!$E$19</c:f>
              <c:strCache>
                <c:ptCount val="1"/>
                <c:pt idx="0">
                  <c:v>женщины</c:v>
                </c:pt>
              </c:strCache>
            </c:strRef>
          </c:tx>
          <c:invertIfNegative val="0"/>
          <c:dLbls>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ГС по категориям'!$C$20:$C$22</c:f>
              <c:strCache>
                <c:ptCount val="3"/>
                <c:pt idx="0">
                  <c:v>руководители</c:v>
                </c:pt>
                <c:pt idx="1">
                  <c:v>специалисты/служащие</c:v>
                </c:pt>
                <c:pt idx="2">
                  <c:v>рабочие</c:v>
                </c:pt>
              </c:strCache>
            </c:strRef>
          </c:cat>
          <c:val>
            <c:numRef>
              <c:f>'ЧЭ, ГС по категориям'!$E$20:$E$22</c:f>
              <c:numCache>
                <c:formatCode>General</c:formatCode>
                <c:ptCount val="3"/>
                <c:pt idx="0">
                  <c:v>6.8</c:v>
                </c:pt>
                <c:pt idx="1">
                  <c:v>42.17</c:v>
                </c:pt>
                <c:pt idx="2">
                  <c:v>17.5</c:v>
                </c:pt>
              </c:numCache>
            </c:numRef>
          </c:val>
          <c:extLst>
            <c:ext xmlns:c16="http://schemas.microsoft.com/office/drawing/2014/chart" uri="{C3380CC4-5D6E-409C-BE32-E72D297353CC}">
              <c16:uniqueId val="{00000001-D264-4DB0-919C-B383A1DAE603}"/>
            </c:ext>
          </c:extLst>
        </c:ser>
        <c:dLbls>
          <c:showLegendKey val="0"/>
          <c:showVal val="0"/>
          <c:showCatName val="0"/>
          <c:showSerName val="0"/>
          <c:showPercent val="0"/>
          <c:showBubbleSize val="0"/>
        </c:dLbls>
        <c:gapWidth val="50"/>
        <c:overlap val="100"/>
        <c:axId val="240386048"/>
        <c:axId val="240387584"/>
      </c:barChart>
      <c:catAx>
        <c:axId val="240386048"/>
        <c:scaling>
          <c:orientation val="minMax"/>
        </c:scaling>
        <c:delete val="0"/>
        <c:axPos val="l"/>
        <c:numFmt formatCode="General" sourceLinked="0"/>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240387584"/>
        <c:crosses val="autoZero"/>
        <c:auto val="1"/>
        <c:lblAlgn val="ctr"/>
        <c:lblOffset val="100"/>
        <c:noMultiLvlLbl val="0"/>
      </c:catAx>
      <c:valAx>
        <c:axId val="240387584"/>
        <c:scaling>
          <c:orientation val="minMax"/>
        </c:scaling>
        <c:delete val="0"/>
        <c:axPos val="b"/>
        <c:numFmt formatCode="0%" sourceLinked="1"/>
        <c:majorTickMark val="out"/>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ru-RU"/>
          </a:p>
        </c:txPr>
        <c:crossAx val="240386048"/>
        <c:crosses val="autoZero"/>
        <c:crossBetween val="between"/>
      </c:valAx>
    </c:plotArea>
    <c:legend>
      <c:legendPos val="r"/>
      <c:overlay val="0"/>
      <c:txPr>
        <a:bodyPr/>
        <a:lstStyle/>
        <a:p>
          <a:pPr>
            <a:defRPr sz="8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096802328250234E-2"/>
          <c:y val="6.4610866372980913E-2"/>
          <c:w val="0.5859615833973274"/>
          <c:h val="0.86508076358296626"/>
        </c:manualLayout>
      </c:layout>
      <c:barChart>
        <c:barDir val="col"/>
        <c:grouping val="percentStacked"/>
        <c:varyColors val="0"/>
        <c:ser>
          <c:idx val="0"/>
          <c:order val="0"/>
          <c:tx>
            <c:strRef>
              <c:f>'ЧЭ, образование'!$A$9</c:f>
              <c:strCache>
                <c:ptCount val="1"/>
                <c:pt idx="0">
                  <c:v>Основное/среднее общее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2021 год</c:v>
                </c:pt>
                <c:pt idx="1">
                  <c:v>2022 год</c:v>
                </c:pt>
                <c:pt idx="2">
                  <c:v>2023 год</c:v>
                </c:pt>
              </c:strCache>
            </c:strRef>
          </c:cat>
          <c:val>
            <c:numRef>
              <c:f>'ЧЭ, образование'!$B$9:$D$9</c:f>
              <c:numCache>
                <c:formatCode>0.00%</c:formatCode>
                <c:ptCount val="3"/>
                <c:pt idx="0">
                  <c:v>0.44850000000000001</c:v>
                </c:pt>
                <c:pt idx="1">
                  <c:v>0.45750000000000002</c:v>
                </c:pt>
                <c:pt idx="2">
                  <c:v>0.43933224755700323</c:v>
                </c:pt>
              </c:numCache>
            </c:numRef>
          </c:val>
          <c:extLst>
            <c:ext xmlns:c16="http://schemas.microsoft.com/office/drawing/2014/chart" uri="{C3380CC4-5D6E-409C-BE32-E72D297353CC}">
              <c16:uniqueId val="{00000000-DAA5-49E0-8147-BBD755729628}"/>
            </c:ext>
          </c:extLst>
        </c:ser>
        <c:ser>
          <c:idx val="1"/>
          <c:order val="1"/>
          <c:tx>
            <c:strRef>
              <c:f>'ЧЭ, образование'!$A$10</c:f>
              <c:strCache>
                <c:ptCount val="1"/>
                <c:pt idx="0">
                  <c:v>Начальное/среднее профессиональное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2021 год</c:v>
                </c:pt>
                <c:pt idx="1">
                  <c:v>2022 год</c:v>
                </c:pt>
                <c:pt idx="2">
                  <c:v>2023 год</c:v>
                </c:pt>
              </c:strCache>
            </c:strRef>
          </c:cat>
          <c:val>
            <c:numRef>
              <c:f>'ЧЭ, образование'!$B$10:$D$10</c:f>
              <c:numCache>
                <c:formatCode>0.00%</c:formatCode>
                <c:ptCount val="3"/>
                <c:pt idx="0">
                  <c:v>0.19409999999999999</c:v>
                </c:pt>
                <c:pt idx="1">
                  <c:v>0.1971</c:v>
                </c:pt>
                <c:pt idx="2">
                  <c:v>0.21091205211726385</c:v>
                </c:pt>
              </c:numCache>
            </c:numRef>
          </c:val>
          <c:extLst>
            <c:ext xmlns:c16="http://schemas.microsoft.com/office/drawing/2014/chart" uri="{C3380CC4-5D6E-409C-BE32-E72D297353CC}">
              <c16:uniqueId val="{00000001-DAA5-49E0-8147-BBD755729628}"/>
            </c:ext>
          </c:extLst>
        </c:ser>
        <c:ser>
          <c:idx val="2"/>
          <c:order val="2"/>
          <c:tx>
            <c:strRef>
              <c:f>'ЧЭ, образование'!$A$11</c:f>
              <c:strCache>
                <c:ptCount val="1"/>
                <c:pt idx="0">
                  <c:v>Высшее профессиональное</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'ЧЭ, образование'!$B$8:$D$8</c:f>
              <c:strCache>
                <c:ptCount val="3"/>
                <c:pt idx="0">
                  <c:v>2021 год</c:v>
                </c:pt>
                <c:pt idx="1">
                  <c:v>2022 год</c:v>
                </c:pt>
                <c:pt idx="2">
                  <c:v>2023 год</c:v>
                </c:pt>
              </c:strCache>
            </c:strRef>
          </c:cat>
          <c:val>
            <c:numRef>
              <c:f>'ЧЭ, образование'!$B$11:$D$11</c:f>
              <c:numCache>
                <c:formatCode>0.00%</c:formatCode>
                <c:ptCount val="3"/>
                <c:pt idx="0">
                  <c:v>0.3574</c:v>
                </c:pt>
                <c:pt idx="1">
                  <c:v>0.34539999999999998</c:v>
                </c:pt>
                <c:pt idx="2">
                  <c:v>0.34975570032573289</c:v>
                </c:pt>
              </c:numCache>
            </c:numRef>
          </c:val>
          <c:extLst>
            <c:ext xmlns:c16="http://schemas.microsoft.com/office/drawing/2014/chart" uri="{C3380CC4-5D6E-409C-BE32-E72D297353CC}">
              <c16:uniqueId val="{00000002-DAA5-49E0-8147-BBD755729628}"/>
            </c:ext>
          </c:extLst>
        </c:ser>
        <c:dLbls>
          <c:showLegendKey val="0"/>
          <c:showVal val="0"/>
          <c:showCatName val="0"/>
          <c:showSerName val="0"/>
          <c:showPercent val="0"/>
          <c:showBubbleSize val="0"/>
        </c:dLbls>
        <c:gapWidth val="30"/>
        <c:overlap val="100"/>
        <c:axId val="240537600"/>
        <c:axId val="240539136"/>
      </c:barChart>
      <c:catAx>
        <c:axId val="240537600"/>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40539136"/>
        <c:crosses val="autoZero"/>
        <c:auto val="1"/>
        <c:lblAlgn val="ctr"/>
        <c:lblOffset val="100"/>
        <c:noMultiLvlLbl val="0"/>
      </c:catAx>
      <c:valAx>
        <c:axId val="240539136"/>
        <c:scaling>
          <c:orientation val="minMax"/>
        </c:scaling>
        <c:delete val="0"/>
        <c:axPos val="l"/>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40537600"/>
        <c:crosses val="autoZero"/>
        <c:crossBetween val="between"/>
      </c:valAx>
    </c:plotArea>
    <c:legend>
      <c:legendPos val="r"/>
      <c:layout>
        <c:manualLayout>
          <c:xMode val="edge"/>
          <c:yMode val="edge"/>
          <c:x val="0.70956754594026616"/>
          <c:y val="4.2624382940910678E-2"/>
          <c:w val="0.29043245405973384"/>
          <c:h val="0.9293989373496428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85848643919509"/>
          <c:y val="2.4680490256322303E-2"/>
          <c:w val="0.67791575532225135"/>
          <c:h val="0.76934243452513529"/>
        </c:manualLayout>
      </c:layout>
      <c:barChart>
        <c:barDir val="col"/>
        <c:grouping val="stacked"/>
        <c:varyColors val="0"/>
        <c:ser>
          <c:idx val="0"/>
          <c:order val="0"/>
          <c:tx>
            <c:strRef>
              <c:f>Лист1!$B$1</c:f>
              <c:strCache>
                <c:ptCount val="1"/>
                <c:pt idx="0">
                  <c:v>Динамика среднего размера ставок за единицу мощности</c:v>
                </c:pt>
              </c:strCache>
            </c:strRef>
          </c:tx>
          <c:spPr>
            <a:solidFill>
              <a:schemeClr val="tx2"/>
            </a:solidFill>
          </c:spPr>
          <c:invertIfNegative val="0"/>
          <c:dLbls>
            <c:numFmt formatCode="#,##0" sourceLinked="0"/>
            <c:spPr>
              <a:noFill/>
              <a:ln w="25385">
                <a:noFill/>
              </a:ln>
            </c:sp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Лист1!$A$2:$A$4</c:f>
              <c:numCache>
                <c:formatCode>General</c:formatCode>
                <c:ptCount val="3"/>
                <c:pt idx="0">
                  <c:v>2021</c:v>
                </c:pt>
                <c:pt idx="1">
                  <c:v>2022</c:v>
                </c:pt>
                <c:pt idx="2">
                  <c:v>2023</c:v>
                </c:pt>
              </c:numCache>
            </c:numRef>
          </c:cat>
          <c:val>
            <c:numRef>
              <c:f>Лист1!$B$2:$B$4</c:f>
              <c:numCache>
                <c:formatCode>0.0</c:formatCode>
                <c:ptCount val="3"/>
                <c:pt idx="0">
                  <c:v>87.752545443631846</c:v>
                </c:pt>
                <c:pt idx="1">
                  <c:v>364.15553444663232</c:v>
                </c:pt>
                <c:pt idx="2">
                  <c:v>240.47303615241469</c:v>
                </c:pt>
              </c:numCache>
            </c:numRef>
          </c:val>
          <c:extLst>
            <c:ext xmlns:c16="http://schemas.microsoft.com/office/drawing/2014/chart" uri="{C3380CC4-5D6E-409C-BE32-E72D297353CC}">
              <c16:uniqueId val="{00000000-F7E5-461C-8E99-8AD7319A0453}"/>
            </c:ext>
          </c:extLst>
        </c:ser>
        <c:dLbls>
          <c:showLegendKey val="0"/>
          <c:showVal val="0"/>
          <c:showCatName val="0"/>
          <c:showSerName val="0"/>
          <c:showPercent val="0"/>
          <c:showBubbleSize val="0"/>
        </c:dLbls>
        <c:gapWidth val="86"/>
        <c:overlap val="100"/>
        <c:serLines/>
        <c:axId val="170138240"/>
        <c:axId val="170463616"/>
      </c:barChart>
      <c:catAx>
        <c:axId val="170138240"/>
        <c:scaling>
          <c:orientation val="minMax"/>
        </c:scaling>
        <c:delete val="0"/>
        <c:axPos val="b"/>
        <c:numFmt formatCode="General" sourceLinked="1"/>
        <c:majorTickMark val="out"/>
        <c:minorTickMark val="none"/>
        <c:tickLblPos val="nextTo"/>
        <c:txPr>
          <a:bodyPr rot="0" vert="horz"/>
          <a:lstStyle/>
          <a:p>
            <a:pPr>
              <a:defRPr/>
            </a:pPr>
            <a:endParaRPr lang="ru-RU"/>
          </a:p>
        </c:txPr>
        <c:crossAx val="170463616"/>
        <c:crosses val="autoZero"/>
        <c:auto val="1"/>
        <c:lblAlgn val="ctr"/>
        <c:lblOffset val="100"/>
        <c:noMultiLvlLbl val="0"/>
      </c:catAx>
      <c:valAx>
        <c:axId val="170463616"/>
        <c:scaling>
          <c:orientation val="minMax"/>
        </c:scaling>
        <c:delete val="1"/>
        <c:axPos val="l"/>
        <c:majorGridlines>
          <c:spPr>
            <a:ln>
              <a:solidFill>
                <a:sysClr val="window" lastClr="FFFFFF">
                  <a:lumMod val="85000"/>
                </a:sysClr>
              </a:solidFill>
            </a:ln>
          </c:spPr>
        </c:majorGridlines>
        <c:title>
          <c:tx>
            <c:rich>
              <a:bodyPr/>
              <a:lstStyle/>
              <a:p>
                <a:pPr>
                  <a:defRPr/>
                </a:pPr>
                <a:r>
                  <a:rPr lang="ru-RU"/>
                  <a:t>рублей/кВт</a:t>
                </a:r>
              </a:p>
            </c:rich>
          </c:tx>
          <c:layout>
            <c:manualLayout>
              <c:xMode val="edge"/>
              <c:yMode val="edge"/>
              <c:x val="7.8443834688028E-2"/>
              <c:y val="0.37611500921731422"/>
            </c:manualLayout>
          </c:layout>
          <c:overlay val="0"/>
        </c:title>
        <c:numFmt formatCode="0.0" sourceLinked="1"/>
        <c:majorTickMark val="out"/>
        <c:minorTickMark val="none"/>
        <c:tickLblPos val="nextTo"/>
        <c:crossAx val="170138240"/>
        <c:crosses val="autoZero"/>
        <c:crossBetween val="between"/>
      </c:valAx>
    </c:plotArea>
    <c:plotVisOnly val="1"/>
    <c:dispBlanksAs val="gap"/>
    <c:showDLblsOverMax val="0"/>
  </c:chart>
  <c:spPr>
    <a:ln>
      <a:noFill/>
    </a:ln>
  </c:spPr>
  <c:txPr>
    <a:bodyPr/>
    <a:lstStyle/>
    <a:p>
      <a:pPr>
        <a:defRPr sz="999"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7.5910000000000005E-2"/>
          <c:y val="0.19789999999999999"/>
          <c:w val="0.92408000000000001"/>
          <c:h val="0.54591999999999996"/>
        </c:manualLayout>
      </c:layout>
      <c:barChart>
        <c:barDir val="col"/>
        <c:grouping val="clustered"/>
        <c:varyColors val="0"/>
        <c:ser>
          <c:idx val="0"/>
          <c:order val="0"/>
          <c:tx>
            <c:strRef>
              <c:f>Лист1!$B$1</c:f>
              <c:strCache>
                <c:ptCount val="1"/>
                <c:pt idx="0">
                  <c:v>2021 год</c:v>
                </c:pt>
              </c:strCache>
            </c:strRef>
          </c:tx>
          <c:spPr bwMode="auto">
            <a:prstGeom prst="rect">
              <a:avLst/>
            </a:prstGeom>
            <a:pattFill prst="narHorz">
              <a:fgClr>
                <a:schemeClr val="accent1">
                  <a:shade val="65000"/>
                </a:schemeClr>
              </a:fgClr>
              <a:bgClr>
                <a:schemeClr val="accent1">
                  <a:shade val="65000"/>
                  <a:lumMod val="20000"/>
                  <a:lumOff val="80000"/>
                </a:schemeClr>
              </a:bgClr>
            </a:pattFill>
            <a:ln>
              <a:noFill/>
            </a:ln>
            <a:effectLst>
              <a:innerShdw blurRad="114300">
                <a:schemeClr val="accent1">
                  <a:shade val="65000"/>
                </a:schemeClr>
              </a:innerShdw>
            </a:effectLst>
          </c:spPr>
          <c:invertIfNegative val="0"/>
          <c:dLbls>
            <c:spPr>
              <a:noFill/>
              <a:ln>
                <a:noFill/>
              </a:ln>
              <a:effectLst/>
            </c:spPr>
            <c:txPr>
              <a:bodyPr rot="0" spcFirstLastPara="1" vertOverflow="ellipsis" vert="horz"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Лист1!$B$2:$B$4</c:f>
              <c:numCache>
                <c:formatCode>#,##0</c:formatCode>
                <c:ptCount val="3"/>
                <c:pt idx="0">
                  <c:v>128</c:v>
                </c:pt>
                <c:pt idx="1">
                  <c:v>97</c:v>
                </c:pt>
                <c:pt idx="2">
                  <c:v>78</c:v>
                </c:pt>
              </c:numCache>
            </c:numRef>
          </c:val>
          <c:extLst>
            <c:ext xmlns:c16="http://schemas.microsoft.com/office/drawing/2014/chart" uri="{C3380CC4-5D6E-409C-BE32-E72D297353CC}">
              <c16:uniqueId val="{00000000-E8C4-4428-A9DE-B09499BA2645}"/>
            </c:ext>
          </c:extLst>
        </c:ser>
        <c:ser>
          <c:idx val="1"/>
          <c:order val="1"/>
          <c:tx>
            <c:strRef>
              <c:f>Лист1!$C$1</c:f>
              <c:strCache>
                <c:ptCount val="1"/>
                <c:pt idx="0">
                  <c:v>2022 год</c:v>
                </c:pt>
              </c:strCache>
            </c:strRef>
          </c:tx>
          <c:spPr bwMode="auto">
            <a:prstGeom prst="rect">
              <a:avLst/>
            </a:prstGeom>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0" spcFirstLastPara="1" vertOverflow="ellipsis" vert="horz"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Лист1!$C$2:$C$4</c:f>
              <c:numCache>
                <c:formatCode>#,##0</c:formatCode>
                <c:ptCount val="3"/>
                <c:pt idx="0">
                  <c:v>257</c:v>
                </c:pt>
                <c:pt idx="1">
                  <c:v>71</c:v>
                </c:pt>
                <c:pt idx="2">
                  <c:v>73</c:v>
                </c:pt>
              </c:numCache>
            </c:numRef>
          </c:val>
          <c:extLst>
            <c:ext xmlns:c16="http://schemas.microsoft.com/office/drawing/2014/chart" uri="{C3380CC4-5D6E-409C-BE32-E72D297353CC}">
              <c16:uniqueId val="{00000001-E8C4-4428-A9DE-B09499BA2645}"/>
            </c:ext>
          </c:extLst>
        </c:ser>
        <c:ser>
          <c:idx val="2"/>
          <c:order val="2"/>
          <c:tx>
            <c:strRef>
              <c:f>Лист1!$D$1</c:f>
              <c:strCache>
                <c:ptCount val="1"/>
                <c:pt idx="0">
                  <c:v>2023 год</c:v>
                </c:pt>
              </c:strCache>
            </c:strRef>
          </c:tx>
          <c:spPr bwMode="auto">
            <a:prstGeom prst="rect">
              <a:avLst/>
            </a:prstGeom>
            <a:pattFill prst="narHorz">
              <a:fgClr>
                <a:schemeClr val="accent1">
                  <a:tint val="65000"/>
                </a:schemeClr>
              </a:fgClr>
              <a:bgClr>
                <a:schemeClr val="accent1">
                  <a:tint val="65000"/>
                  <a:lumMod val="20000"/>
                  <a:lumOff val="80000"/>
                </a:schemeClr>
              </a:bgClr>
            </a:pattFill>
            <a:ln>
              <a:noFill/>
            </a:ln>
            <a:effectLst>
              <a:innerShdw blurRad="114300">
                <a:schemeClr val="accent1">
                  <a:tint val="65000"/>
                </a:schemeClr>
              </a:innerShdw>
            </a:effectLst>
          </c:spPr>
          <c:invertIfNegative val="0"/>
          <c:dLbls>
            <c:spPr>
              <a:noFill/>
              <a:ln>
                <a:noFill/>
              </a:ln>
              <a:effectLst/>
            </c:spPr>
            <c:txPr>
              <a:bodyPr rot="0" spcFirstLastPara="1" vertOverflow="ellipsis" vert="horz"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Лист1!$D$2:$D$4</c:f>
              <c:numCache>
                <c:formatCode>#,##0</c:formatCode>
                <c:ptCount val="3"/>
                <c:pt idx="0">
                  <c:v>173.51284110000003</c:v>
                </c:pt>
                <c:pt idx="1">
                  <c:v>86.306899999999999</c:v>
                </c:pt>
                <c:pt idx="2">
                  <c:v>56.732520000000001</c:v>
                </c:pt>
              </c:numCache>
            </c:numRef>
          </c:val>
          <c:extLst>
            <c:ext xmlns:c16="http://schemas.microsoft.com/office/drawing/2014/chart" uri="{C3380CC4-5D6E-409C-BE32-E72D297353CC}">
              <c16:uniqueId val="{00000002-E8C4-4428-A9DE-B09499BA2645}"/>
            </c:ext>
          </c:extLst>
        </c:ser>
        <c:dLbls>
          <c:showLegendKey val="0"/>
          <c:showVal val="0"/>
          <c:showCatName val="0"/>
          <c:showSerName val="0"/>
          <c:showPercent val="0"/>
          <c:showBubbleSize val="0"/>
        </c:dLbls>
        <c:gapWidth val="164"/>
        <c:overlap val="-21"/>
        <c:axId val="2098914480"/>
        <c:axId val="2098914481"/>
      </c:barChart>
      <c:catAx>
        <c:axId val="2098914480"/>
        <c:scaling>
          <c:orientation val="minMax"/>
        </c:scaling>
        <c:delete val="0"/>
        <c:axPos val="b"/>
        <c:numFmt formatCode="General" sourceLinked="1"/>
        <c:majorTickMark val="none"/>
        <c:minorTickMark val="none"/>
        <c:tickLblPos val="nextTo"/>
        <c:spPr bwMode="auto">
          <a:prstGeom prst="rect">
            <a:avLst/>
          </a:prstGeom>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baseline="0">
                <a:solidFill>
                  <a:schemeClr val="tx1">
                    <a:lumMod val="65000"/>
                    <a:lumOff val="35000"/>
                  </a:schemeClr>
                </a:solidFill>
                <a:latin typeface="PF Din Text Cond Pro Light"/>
                <a:ea typeface="Arial"/>
                <a:cs typeface="Arial"/>
              </a:defRPr>
            </a:pPr>
            <a:endParaRPr lang="ru-RU"/>
          </a:p>
        </c:txPr>
        <c:crossAx val="2098914481"/>
        <c:crosses val="autoZero"/>
        <c:auto val="1"/>
        <c:lblAlgn val="ctr"/>
        <c:lblOffset val="100"/>
        <c:noMultiLvlLbl val="0"/>
      </c:catAx>
      <c:valAx>
        <c:axId val="2098914481"/>
        <c:scaling>
          <c:orientation val="minMax"/>
        </c:scaling>
        <c:delete val="0"/>
        <c:axPos val="l"/>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200" b="0" i="0" u="none" strike="noStrike" baseline="0">
                <a:solidFill>
                  <a:schemeClr val="tx1">
                    <a:lumMod val="65000"/>
                    <a:lumOff val="35000"/>
                  </a:schemeClr>
                </a:solidFill>
                <a:latin typeface="PF Din Text Cond Pro Light"/>
                <a:ea typeface="Arial"/>
                <a:cs typeface="Arial"/>
              </a:defRPr>
            </a:pPr>
            <a:endParaRPr lang="ru-RU"/>
          </a:p>
        </c:txPr>
        <c:crossAx val="2098914480"/>
        <c:crosses val="autoZero"/>
        <c:crossBetween val="between"/>
      </c:valAx>
      <c:spPr>
        <a:prstGeom prst="rect">
          <a:avLst/>
        </a:prstGeom>
        <a:noFill/>
        <a:ln>
          <a:noFill/>
        </a:ln>
        <a:effectLst/>
      </c:spPr>
    </c:plotArea>
    <c:legend>
      <c:legendPos val="t"/>
      <c:layout>
        <c:manualLayout>
          <c:xMode val="edge"/>
          <c:yMode val="edge"/>
          <c:x val="0.13835"/>
          <c:y val="1.9900000000000001E-2"/>
          <c:w val="0.85926999999999998"/>
          <c:h val="9.6610000000000001E-2"/>
        </c:manualLayout>
      </c:layout>
      <c:overlay val="0"/>
      <c:spPr>
        <a:prstGeom prst="rect">
          <a:avLst/>
        </a:prstGeom>
        <a:noFill/>
        <a:ln>
          <a:noFill/>
        </a:ln>
        <a:effectLst/>
      </c:spPr>
      <c:txPr>
        <a:bodyPr rot="0" spcFirstLastPara="1" vertOverflow="ellipsis" vert="horz" wrap="square" anchor="ctr" anchorCtr="1"/>
        <a:lstStyle/>
        <a:p>
          <a:pPr>
            <a:defRPr sz="12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bwMode="auto">
    <a:xfrm>
      <a:off x="0" y="0"/>
      <a:ext cx="4669740" cy="2552560"/>
    </a:xfrm>
    <a:prstGeom prst="rect">
      <a:avLst/>
    </a:prstGeom>
    <a:noFill/>
    <a:ln w="9525" cap="flat" cmpd="sng" algn="ctr">
      <a:noFill/>
      <a:round/>
    </a:ln>
    <a:effectLst/>
  </c:spPr>
  <c:txPr>
    <a:bodyPr/>
    <a:lstStyle/>
    <a:p>
      <a:pPr>
        <a:defRPr>
          <a:latin typeface="+mn-lt"/>
        </a:defRPr>
      </a:pPr>
      <a:endParaRPr lang="ru-RU"/>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047"/>
          <c:y val="0.25433"/>
          <c:w val="0.92408000000000001"/>
          <c:h val="0.48404000000000003"/>
        </c:manualLayout>
      </c:layout>
      <c:barChart>
        <c:barDir val="col"/>
        <c:grouping val="clustered"/>
        <c:varyColors val="0"/>
        <c:ser>
          <c:idx val="0"/>
          <c:order val="0"/>
          <c:tx>
            <c:strRef>
              <c:f>Лист1!$B$1</c:f>
              <c:strCache>
                <c:ptCount val="1"/>
                <c:pt idx="0">
                  <c:v>2021 год</c:v>
                </c:pt>
              </c:strCache>
            </c:strRef>
          </c:tx>
          <c:spPr bwMode="auto">
            <a:prstGeom prst="rect">
              <a:avLst/>
            </a:prstGeom>
            <a:pattFill prst="narHorz">
              <a:fgClr>
                <a:schemeClr val="accent1">
                  <a:shade val="65000"/>
                </a:schemeClr>
              </a:fgClr>
              <a:bgClr>
                <a:schemeClr val="accent1">
                  <a:shade val="65000"/>
                  <a:lumMod val="20000"/>
                  <a:lumOff val="80000"/>
                </a:schemeClr>
              </a:bgClr>
            </a:pattFill>
            <a:ln>
              <a:noFill/>
            </a:ln>
            <a:effectLst>
              <a:innerShdw blurRad="114300">
                <a:schemeClr val="accent1">
                  <a:shade val="65000"/>
                </a:schemeClr>
              </a:innerShdw>
            </a:effectLst>
          </c:spPr>
          <c:invertIfNegative val="0"/>
          <c:dLbls>
            <c:dLbl>
              <c:idx val="0"/>
              <c:layout>
                <c:manualLayout>
                  <c:x val="0"/>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F5E-4792-889C-9B2D83916835}"/>
                </c:ext>
              </c:extLst>
            </c:dLbl>
            <c:dLbl>
              <c:idx val="1"/>
              <c:layout>
                <c:manualLayout>
                  <c:x val="1.0869999999999999E-2"/>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F5E-4792-889C-9B2D83916835}"/>
                </c:ext>
              </c:extLst>
            </c:dLbl>
            <c:dLbl>
              <c:idx val="2"/>
              <c:layout>
                <c:manualLayout>
                  <c:x val="1.6310000000000002E-2"/>
                  <c:y val="-1.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F5E-4792-889C-9B2D83916835}"/>
                </c:ext>
              </c:extLst>
            </c:dLbl>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Лист1!$B$2:$B$4</c:f>
              <c:numCache>
                <c:formatCode>0</c:formatCode>
                <c:ptCount val="3"/>
                <c:pt idx="0">
                  <c:v>6030</c:v>
                </c:pt>
                <c:pt idx="1">
                  <c:v>5402</c:v>
                </c:pt>
                <c:pt idx="2">
                  <c:v>5070</c:v>
                </c:pt>
              </c:numCache>
            </c:numRef>
          </c:val>
          <c:extLst>
            <c:ext xmlns:c16="http://schemas.microsoft.com/office/drawing/2014/chart" uri="{C3380CC4-5D6E-409C-BE32-E72D297353CC}">
              <c16:uniqueId val="{00000003-8F5E-4792-889C-9B2D83916835}"/>
            </c:ext>
          </c:extLst>
        </c:ser>
        <c:ser>
          <c:idx val="1"/>
          <c:order val="1"/>
          <c:tx>
            <c:strRef>
              <c:f>Лист1!$C$1</c:f>
              <c:strCache>
                <c:ptCount val="1"/>
                <c:pt idx="0">
                  <c:v>2022 год</c:v>
                </c:pt>
              </c:strCache>
            </c:strRef>
          </c:tx>
          <c:spPr bwMode="auto">
            <a:prstGeom prst="rect">
              <a:avLst/>
            </a:prstGeom>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dLbl>
              <c:idx val="0"/>
              <c:layout>
                <c:manualLayout>
                  <c:x val="5.4299999999999999E-3"/>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F5E-4792-889C-9B2D83916835}"/>
                </c:ext>
              </c:extLst>
            </c:dLbl>
            <c:dLbl>
              <c:idx val="1"/>
              <c:layout>
                <c:manualLayout>
                  <c:x val="5.4299999999999999E-3"/>
                  <c:y val="-4.62999999999999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F5E-4792-889C-9B2D83916835}"/>
                </c:ext>
              </c:extLst>
            </c:dLbl>
            <c:dLbl>
              <c:idx val="2"/>
              <c:layout>
                <c:manualLayout>
                  <c:x val="1.6310000000000002E-2"/>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F5E-4792-889C-9B2D83916835}"/>
                </c:ext>
              </c:extLst>
            </c:dLbl>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Лист1!$C$2:$C$4</c:f>
              <c:numCache>
                <c:formatCode>0</c:formatCode>
                <c:ptCount val="3"/>
                <c:pt idx="0">
                  <c:v>4381</c:v>
                </c:pt>
                <c:pt idx="1">
                  <c:v>3770</c:v>
                </c:pt>
                <c:pt idx="2">
                  <c:v>3137</c:v>
                </c:pt>
              </c:numCache>
            </c:numRef>
          </c:val>
          <c:extLst>
            <c:ext xmlns:c16="http://schemas.microsoft.com/office/drawing/2014/chart" uri="{C3380CC4-5D6E-409C-BE32-E72D297353CC}">
              <c16:uniqueId val="{00000007-8F5E-4792-889C-9B2D83916835}"/>
            </c:ext>
          </c:extLst>
        </c:ser>
        <c:ser>
          <c:idx val="2"/>
          <c:order val="2"/>
          <c:tx>
            <c:strRef>
              <c:f>Лист1!$D$1</c:f>
              <c:strCache>
                <c:ptCount val="1"/>
                <c:pt idx="0">
                  <c:v>2023 год</c:v>
                </c:pt>
              </c:strCache>
            </c:strRef>
          </c:tx>
          <c:spPr bwMode="auto">
            <a:prstGeom prst="rect">
              <a:avLst/>
            </a:prstGeom>
            <a:pattFill prst="narHorz">
              <a:fgClr>
                <a:schemeClr val="accent1">
                  <a:tint val="65000"/>
                </a:schemeClr>
              </a:fgClr>
              <a:bgClr>
                <a:schemeClr val="accent1">
                  <a:tint val="65000"/>
                  <a:lumMod val="20000"/>
                  <a:lumOff val="80000"/>
                </a:schemeClr>
              </a:bgClr>
            </a:pattFill>
            <a:ln>
              <a:noFill/>
            </a:ln>
            <a:effectLst>
              <a:innerShdw blurRad="114300">
                <a:schemeClr val="accent1">
                  <a:tint val="65000"/>
                </a:schemeClr>
              </a:innerShdw>
            </a:effectLst>
          </c:spPr>
          <c:invertIfNegative val="0"/>
          <c:dLbls>
            <c:dLbl>
              <c:idx val="0"/>
              <c:layout>
                <c:manualLayout>
                  <c:x val="1.0869999999999999E-2"/>
                  <c:y val="-1.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F5E-4792-889C-9B2D83916835}"/>
                </c:ext>
              </c:extLst>
            </c:dLbl>
            <c:dLbl>
              <c:idx val="1"/>
              <c:layout>
                <c:manualLayout>
                  <c:x val="1.9029999999999998E-2"/>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F5E-4792-889C-9B2D83916835}"/>
                </c:ext>
              </c:extLst>
            </c:dLbl>
            <c:dLbl>
              <c:idx val="2"/>
              <c:layout>
                <c:manualLayout>
                  <c:x val="2.1749999999999999E-2"/>
                  <c:y val="-9.25999999999999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F5E-4792-889C-9B2D83916835}"/>
                </c:ext>
              </c:extLst>
            </c:dLbl>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Лист1!$A$2:$A$4</c:f>
              <c:strCache>
                <c:ptCount val="3"/>
                <c:pt idx="0">
                  <c:v>Принятые
заявки на ТП</c:v>
                </c:pt>
                <c:pt idx="1">
                  <c:v>Заключенные
договоры ТП</c:v>
                </c:pt>
                <c:pt idx="2">
                  <c:v>Исполненные
договоры ТП</c:v>
                </c:pt>
              </c:strCache>
            </c:strRef>
          </c:cat>
          <c:val>
            <c:numRef>
              <c:f>Лист1!$D$2:$D$4</c:f>
              <c:numCache>
                <c:formatCode>0</c:formatCode>
                <c:ptCount val="3"/>
                <c:pt idx="0">
                  <c:v>4945</c:v>
                </c:pt>
                <c:pt idx="1">
                  <c:v>4073</c:v>
                </c:pt>
                <c:pt idx="2">
                  <c:v>2941</c:v>
                </c:pt>
              </c:numCache>
            </c:numRef>
          </c:val>
          <c:extLst>
            <c:ext xmlns:c16="http://schemas.microsoft.com/office/drawing/2014/chart" uri="{C3380CC4-5D6E-409C-BE32-E72D297353CC}">
              <c16:uniqueId val="{0000000B-8F5E-4792-889C-9B2D83916835}"/>
            </c:ext>
          </c:extLst>
        </c:ser>
        <c:dLbls>
          <c:showLegendKey val="0"/>
          <c:showVal val="0"/>
          <c:showCatName val="0"/>
          <c:showSerName val="0"/>
          <c:showPercent val="0"/>
          <c:showBubbleSize val="0"/>
        </c:dLbls>
        <c:gapWidth val="164"/>
        <c:overlap val="-21"/>
        <c:axId val="2098914486"/>
        <c:axId val="2098914487"/>
      </c:barChart>
      <c:catAx>
        <c:axId val="2098914486"/>
        <c:scaling>
          <c:orientation val="minMax"/>
        </c:scaling>
        <c:delete val="0"/>
        <c:axPos val="b"/>
        <c:numFmt formatCode="General" sourceLinked="1"/>
        <c:majorTickMark val="none"/>
        <c:minorTickMark val="none"/>
        <c:tickLblPos val="nextTo"/>
        <c:spPr bwMode="auto">
          <a:prstGeom prst="rect">
            <a:avLst/>
          </a:prstGeom>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baseline="0">
                <a:solidFill>
                  <a:schemeClr val="tx1">
                    <a:lumMod val="65000"/>
                    <a:lumOff val="35000"/>
                  </a:schemeClr>
                </a:solidFill>
                <a:latin typeface="PF Din Text Cond Pro Light"/>
                <a:ea typeface="Arial"/>
                <a:cs typeface="Arial"/>
              </a:defRPr>
            </a:pPr>
            <a:endParaRPr lang="ru-RU"/>
          </a:p>
        </c:txPr>
        <c:crossAx val="2098914487"/>
        <c:crosses val="autoZero"/>
        <c:auto val="1"/>
        <c:lblAlgn val="ctr"/>
        <c:lblOffset val="100"/>
        <c:noMultiLvlLbl val="0"/>
      </c:catAx>
      <c:valAx>
        <c:axId val="2098914487"/>
        <c:scaling>
          <c:orientation val="minMax"/>
        </c:scaling>
        <c:delete val="0"/>
        <c:axPos val="l"/>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100" b="0" i="0" u="none" strike="noStrike" baseline="0">
                <a:solidFill>
                  <a:schemeClr val="tx1">
                    <a:lumMod val="65000"/>
                    <a:lumOff val="35000"/>
                  </a:schemeClr>
                </a:solidFill>
                <a:latin typeface="PF Din Text Cond Pro Light"/>
                <a:ea typeface="Arial"/>
                <a:cs typeface="Arial"/>
              </a:defRPr>
            </a:pPr>
            <a:endParaRPr lang="ru-RU"/>
          </a:p>
        </c:txPr>
        <c:crossAx val="2098914486"/>
        <c:crosses val="autoZero"/>
        <c:crossBetween val="between"/>
      </c:valAx>
      <c:spPr>
        <a:prstGeom prst="rect">
          <a:avLst/>
        </a:prstGeom>
        <a:noFill/>
        <a:ln>
          <a:noFill/>
        </a:ln>
        <a:effectLst/>
      </c:spPr>
    </c:plotArea>
    <c:legend>
      <c:legendPos val="t"/>
      <c:overlay val="0"/>
      <c:spPr>
        <a:prstGeom prst="rect">
          <a:avLst/>
        </a:prstGeom>
        <a:noFill/>
        <a:ln>
          <a:noFill/>
        </a:ln>
        <a:effectLst/>
      </c:spPr>
      <c:txPr>
        <a:bodyPr rot="0" spcFirstLastPara="1" vertOverflow="ellipsis" vert="horz" wrap="square" anchor="ctr" anchorCtr="1"/>
        <a:lstStyle/>
        <a:p>
          <a:pPr>
            <a:defRPr sz="11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bwMode="auto">
    <a:xfrm>
      <a:off x="0" y="0"/>
      <a:ext cx="4669740" cy="2552562"/>
    </a:xfrm>
    <a:prstGeom prst="rect">
      <a:avLst/>
    </a:prstGeom>
    <a:noFill/>
    <a:ln w="9525" cap="flat" cmpd="sng" algn="ctr">
      <a:noFill/>
      <a:round/>
    </a:ln>
    <a:effectLst/>
  </c:spPr>
  <c:txPr>
    <a:bodyPr/>
    <a:lstStyle/>
    <a:p>
      <a:pPr>
        <a:defRPr sz="1100">
          <a:latin typeface="+mn-lt"/>
        </a:defRPr>
      </a:pPr>
      <a:endParaRPr lang="ru-RU"/>
    </a:p>
  </c:txPr>
  <c:externalData r:id="rId3">
    <c:autoUpdate val="0"/>
  </c:externalData>
  <c:userShapes r:id="rId4"/>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0"/>
    <c:plotArea>
      <c:layout>
        <c:manualLayout>
          <c:layoutTarget val="inner"/>
          <c:xMode val="edge"/>
          <c:yMode val="edge"/>
          <c:x val="0.1047"/>
          <c:y val="0.25433"/>
          <c:w val="0.92408000000000001"/>
          <c:h val="0.48404000000000003"/>
        </c:manualLayout>
      </c:layout>
      <c:barChart>
        <c:barDir val="col"/>
        <c:grouping val="clustered"/>
        <c:varyColors val="0"/>
        <c:ser>
          <c:idx val="0"/>
          <c:order val="0"/>
          <c:tx>
            <c:strRef>
              <c:f>'Лист1'!$B$1</c:f>
              <c:strCache>
                <c:ptCount val="1"/>
                <c:pt idx="0">
                  <c:v>2021 год</c:v>
                </c:pt>
              </c:strCache>
            </c:strRef>
          </c:tx>
          <c:spPr bwMode="auto">
            <a:prstGeom prst="rect">
              <a:avLst/>
            </a:prstGeom>
            <a:pattFill prst="narHorz">
              <a:fgClr>
                <a:schemeClr val="accent1">
                  <a:shade val="65000"/>
                </a:schemeClr>
              </a:fgClr>
              <a:bgClr>
                <a:schemeClr val="accent1">
                  <a:shade val="65000"/>
                  <a:lumMod val="20000"/>
                  <a:lumOff val="80000"/>
                </a:schemeClr>
              </a:bgClr>
            </a:pattFill>
            <a:ln>
              <a:noFill/>
            </a:ln>
            <a:effectLst>
              <a:innerShdw blurRad="114300">
                <a:schemeClr val="accent1">
                  <a:shade val="65000"/>
                </a:schemeClr>
              </a:innerShdw>
            </a:effectLst>
          </c:spPr>
          <c:invertIfNegative val="0"/>
          <c:dLbls>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c:f>
              <c:strCache>
                <c:ptCount val="1"/>
                <c:pt idx="0">
                  <c:v>Выручка, млн руб</c:v>
                </c:pt>
              </c:strCache>
            </c:strRef>
          </c:cat>
          <c:val>
            <c:numRef>
              <c:f>'Лист1'!$B$2</c:f>
              <c:numCache>
                <c:formatCode>0</c:formatCode>
                <c:ptCount val="1"/>
                <c:pt idx="0">
                  <c:v>4.9054140000000004</c:v>
                </c:pt>
              </c:numCache>
            </c:numRef>
          </c:val>
          <c:extLst>
            <c:ext xmlns:c16="http://schemas.microsoft.com/office/drawing/2014/chart" uri="{C3380CC4-5D6E-409C-BE32-E72D297353CC}">
              <c16:uniqueId val="{00000000-2C17-45F9-ADEE-48A8ED50022E}"/>
            </c:ext>
          </c:extLst>
        </c:ser>
        <c:ser>
          <c:idx val="1"/>
          <c:order val="1"/>
          <c:tx>
            <c:strRef>
              <c:f>'Лист1'!$C$1</c:f>
              <c:strCache>
                <c:ptCount val="1"/>
                <c:pt idx="0">
                  <c:v>2022 год</c:v>
                </c:pt>
              </c:strCache>
            </c:strRef>
          </c:tx>
          <c:spPr bwMode="auto">
            <a:prstGeom prst="rect">
              <a:avLst/>
            </a:prstGeom>
            <a:pattFill prst="narHorz">
              <a:fgClr>
                <a:schemeClr val="accent1"/>
              </a:fgClr>
              <a:bgClr>
                <a:schemeClr val="accent1">
                  <a:lumMod val="20000"/>
                  <a:lumOff val="80000"/>
                </a:schemeClr>
              </a:bgClr>
            </a:pattFill>
            <a:ln>
              <a:noFill/>
            </a:ln>
            <a:effectLst>
              <a:innerShdw blurRad="114300">
                <a:schemeClr val="accent1"/>
              </a:innerShdw>
            </a:effectLst>
          </c:spPr>
          <c:invertIfNegative val="0"/>
          <c:dLbls>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c:f>
              <c:strCache>
                <c:ptCount val="1"/>
                <c:pt idx="0">
                  <c:v>Выручка, млн руб</c:v>
                </c:pt>
              </c:strCache>
            </c:strRef>
          </c:cat>
          <c:val>
            <c:numRef>
              <c:f>'Лист1'!$C$2</c:f>
              <c:numCache>
                <c:formatCode>0</c:formatCode>
                <c:ptCount val="1"/>
                <c:pt idx="0">
                  <c:v>30.691744</c:v>
                </c:pt>
              </c:numCache>
            </c:numRef>
          </c:val>
          <c:extLst>
            <c:ext xmlns:c16="http://schemas.microsoft.com/office/drawing/2014/chart" uri="{C3380CC4-5D6E-409C-BE32-E72D297353CC}">
              <c16:uniqueId val="{00000001-2C17-45F9-ADEE-48A8ED50022E}"/>
            </c:ext>
          </c:extLst>
        </c:ser>
        <c:ser>
          <c:idx val="2"/>
          <c:order val="2"/>
          <c:tx>
            <c:strRef>
              <c:f>'Лист1'!$D$1</c:f>
              <c:strCache>
                <c:ptCount val="1"/>
                <c:pt idx="0">
                  <c:v>2023 год</c:v>
                </c:pt>
              </c:strCache>
            </c:strRef>
          </c:tx>
          <c:spPr bwMode="auto">
            <a:prstGeom prst="rect">
              <a:avLst/>
            </a:prstGeom>
            <a:pattFill prst="narHorz">
              <a:fgClr>
                <a:schemeClr val="accent1">
                  <a:tint val="65000"/>
                </a:schemeClr>
              </a:fgClr>
              <a:bgClr>
                <a:schemeClr val="accent1">
                  <a:tint val="65000"/>
                  <a:lumMod val="20000"/>
                  <a:lumOff val="80000"/>
                </a:schemeClr>
              </a:bgClr>
            </a:pattFill>
            <a:ln>
              <a:noFill/>
            </a:ln>
            <a:effectLst>
              <a:innerShdw blurRad="114300">
                <a:schemeClr val="accent1">
                  <a:tint val="65000"/>
                </a:schemeClr>
              </a:innerShdw>
            </a:effectLst>
          </c:spPr>
          <c:invertIfNegative val="0"/>
          <c:dLbls>
            <c:spPr>
              <a:noFill/>
              <a:ln>
                <a:noFill/>
              </a:ln>
              <a:effectLst/>
            </c:spPr>
            <c:txPr>
              <a:bodyPr rot="-5400000" spcFirstLastPara="1" vertOverflow="ellipsis" wrap="square" anchor="ctr" anchorCtr="1"/>
              <a:lstStyle/>
              <a:p>
                <a:pPr>
                  <a:defRPr sz="1200" b="0" i="0" u="none" strike="noStrike"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showLeaderLines val="0"/>
              </c:ext>
            </c:extLst>
          </c:dLbls>
          <c:cat>
            <c:strRef>
              <c:f>'Лист1'!$A$2</c:f>
              <c:strCache>
                <c:ptCount val="1"/>
                <c:pt idx="0">
                  <c:v>Выручка, млн руб</c:v>
                </c:pt>
              </c:strCache>
            </c:strRef>
          </c:cat>
          <c:val>
            <c:numRef>
              <c:f>'Лист1'!$D$2</c:f>
              <c:numCache>
                <c:formatCode>0</c:formatCode>
                <c:ptCount val="1"/>
                <c:pt idx="0">
                  <c:v>32.399751999999999</c:v>
                </c:pt>
              </c:numCache>
            </c:numRef>
          </c:val>
          <c:extLst>
            <c:ext xmlns:c16="http://schemas.microsoft.com/office/drawing/2014/chart" uri="{C3380CC4-5D6E-409C-BE32-E72D297353CC}">
              <c16:uniqueId val="{00000002-2C17-45F9-ADEE-48A8ED50022E}"/>
            </c:ext>
          </c:extLst>
        </c:ser>
        <c:dLbls>
          <c:showLegendKey val="0"/>
          <c:showVal val="0"/>
          <c:showCatName val="0"/>
          <c:showSerName val="0"/>
          <c:showPercent val="0"/>
          <c:showBubbleSize val="0"/>
        </c:dLbls>
        <c:gapWidth val="164"/>
        <c:overlap val="-21"/>
        <c:axId val="2098914488"/>
        <c:axId val="2098914489"/>
      </c:barChart>
      <c:catAx>
        <c:axId val="2098914488"/>
        <c:scaling>
          <c:orientation val="minMax"/>
        </c:scaling>
        <c:delete val="0"/>
        <c:axPos val="b"/>
        <c:numFmt formatCode="General" sourceLinked="1"/>
        <c:majorTickMark val="none"/>
        <c:minorTickMark val="none"/>
        <c:tickLblPos val="nextTo"/>
        <c:spPr bwMode="auto">
          <a:prstGeom prst="rect">
            <a:avLst/>
          </a:prstGeom>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baseline="0">
                <a:solidFill>
                  <a:schemeClr val="tx1">
                    <a:lumMod val="65000"/>
                    <a:lumOff val="35000"/>
                  </a:schemeClr>
                </a:solidFill>
                <a:latin typeface="PF Din Text Cond Pro Light"/>
                <a:ea typeface="Arial"/>
                <a:cs typeface="Arial"/>
              </a:defRPr>
            </a:pPr>
            <a:endParaRPr lang="ru-RU"/>
          </a:p>
        </c:txPr>
        <c:crossAx val="2098914489"/>
        <c:crosses val="autoZero"/>
        <c:auto val="1"/>
        <c:lblAlgn val="ctr"/>
        <c:lblOffset val="100"/>
        <c:noMultiLvlLbl val="0"/>
      </c:catAx>
      <c:valAx>
        <c:axId val="2098914489"/>
        <c:scaling>
          <c:orientation val="minMax"/>
        </c:scaling>
        <c:delete val="0"/>
        <c:axPos val="l"/>
        <c:numFmt formatCode="0"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1100" b="0" i="0" u="none" strike="noStrike" baseline="0">
                <a:solidFill>
                  <a:schemeClr val="tx1">
                    <a:lumMod val="65000"/>
                    <a:lumOff val="35000"/>
                  </a:schemeClr>
                </a:solidFill>
                <a:latin typeface="PF Din Text Cond Pro Light"/>
                <a:ea typeface="Arial"/>
                <a:cs typeface="Arial"/>
              </a:defRPr>
            </a:pPr>
            <a:endParaRPr lang="ru-RU"/>
          </a:p>
        </c:txPr>
        <c:crossAx val="2098914488"/>
        <c:crosses val="autoZero"/>
        <c:crossBetween val="between"/>
      </c:valAx>
      <c:spPr>
        <a:prstGeom prst="rect">
          <a:avLst/>
        </a:prstGeom>
        <a:noFill/>
        <a:ln>
          <a:noFill/>
        </a:ln>
        <a:effectLst/>
      </c:spPr>
    </c:plotArea>
    <c:legend>
      <c:legendPos val="t"/>
      <c:overlay val="0"/>
      <c:spPr>
        <a:prstGeom prst="rect">
          <a:avLst/>
        </a:prstGeom>
        <a:noFill/>
        <a:ln>
          <a:noFill/>
        </a:ln>
        <a:effectLst/>
      </c:spPr>
      <c:txPr>
        <a:bodyPr rot="0" spcFirstLastPara="1" vertOverflow="ellipsis" vert="horz" wrap="square" anchor="ctr" anchorCtr="1"/>
        <a:lstStyle/>
        <a:p>
          <a:pPr>
            <a:defRPr sz="11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bwMode="auto">
    <a:xfrm>
      <a:off x="0" y="0"/>
      <a:ext cx="4669738" cy="2552560"/>
    </a:xfrm>
    <a:prstGeom prst="rect">
      <a:avLst/>
    </a:prstGeom>
    <a:noFill/>
    <a:ln w="9525" cap="flat" cmpd="sng" algn="ctr">
      <a:noFill/>
      <a:round/>
    </a:ln>
    <a:effectLst/>
  </c:spPr>
  <c:txPr>
    <a:bodyPr/>
    <a:lstStyle/>
    <a:p>
      <a:pPr>
        <a:defRPr sz="1100">
          <a:latin typeface="+mn-lt"/>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spc="0" baseline="0">
                <a:solidFill>
                  <a:schemeClr val="tx1">
                    <a:lumMod val="65000"/>
                    <a:lumOff val="35000"/>
                  </a:schemeClr>
                </a:solidFill>
                <a:latin typeface="+mn-lt"/>
                <a:ea typeface="+mn-ea"/>
                <a:cs typeface="+mn-cs"/>
              </a:defRPr>
            </a:pPr>
            <a:r>
              <a:rPr lang="ru-RU"/>
              <a:t>Диаграмма оказанных дополнительных (нетарифных)услуг </a:t>
            </a:r>
          </a:p>
        </c:rich>
      </c:tx>
      <c:overlay val="0"/>
      <c:spPr>
        <a:prstGeom prst="rect">
          <a:avLst/>
        </a:prstGeom>
        <a:noFill/>
        <a:ln>
          <a:noFill/>
        </a:ln>
        <a:effectLst/>
      </c:spPr>
      <c:txPr>
        <a:bodyPr rot="0" spcFirstLastPara="1" vertOverflow="ellipsis" vert="horz" wrap="square" anchor="ctr" anchorCtr="1"/>
        <a:lstStyle/>
        <a:p>
          <a:pPr>
            <a:defRPr sz="1400" b="0" i="0" u="none" strike="noStrike"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Лист1!$B$1</c:f>
              <c:strCache>
                <c:ptCount val="1"/>
                <c:pt idx="0">
                  <c:v>2021 год</c:v>
                </c:pt>
              </c:strCache>
            </c:strRef>
          </c:tx>
          <c:spPr>
            <a:prstGeom prst="rect">
              <a:avLst/>
            </a:prstGeom>
            <a:solidFill>
              <a:schemeClr val="accent1"/>
            </a:solidFill>
            <a:ln>
              <a:noFill/>
            </a:ln>
            <a:effectLst/>
          </c:spPr>
          <c:invertIfNegative val="0"/>
          <c:cat>
            <c:strRef>
              <c:f>Лист1!$A$2:$A$5</c:f>
              <c:strCache>
                <c:ptCount val="3"/>
                <c:pt idx="0">
                  <c:v>Аренда и услуги по размещению</c:v>
                </c:pt>
                <c:pt idx="1">
                  <c:v>Консультационные и организационно-технические услуги</c:v>
                </c:pt>
                <c:pt idx="2">
                  <c:v>Другие услуги по прочей операционной деятельности</c:v>
                </c:pt>
              </c:strCache>
            </c:strRef>
          </c:cat>
          <c:val>
            <c:numRef>
              <c:f>Лист1!$B$2:$B$5</c:f>
              <c:numCache>
                <c:formatCode>General</c:formatCode>
                <c:ptCount val="3"/>
                <c:pt idx="0">
                  <c:v>38494.337318489001</c:v>
                </c:pt>
                <c:pt idx="1">
                  <c:v>129.742716667</c:v>
                </c:pt>
                <c:pt idx="2">
                  <c:v>1560.935706511</c:v>
                </c:pt>
              </c:numCache>
            </c:numRef>
          </c:val>
          <c:extLst>
            <c:ext xmlns:c16="http://schemas.microsoft.com/office/drawing/2014/chart" uri="{C3380CC4-5D6E-409C-BE32-E72D297353CC}">
              <c16:uniqueId val="{00000000-9F17-4496-8BE9-2347BF633169}"/>
            </c:ext>
          </c:extLst>
        </c:ser>
        <c:ser>
          <c:idx val="1"/>
          <c:order val="1"/>
          <c:tx>
            <c:strRef>
              <c:f>Лист1!$C$1</c:f>
              <c:strCache>
                <c:ptCount val="1"/>
                <c:pt idx="0">
                  <c:v>2022 год</c:v>
                </c:pt>
              </c:strCache>
            </c:strRef>
          </c:tx>
          <c:spPr>
            <a:prstGeom prst="rect">
              <a:avLst/>
            </a:prstGeom>
            <a:solidFill>
              <a:schemeClr val="accent2"/>
            </a:solidFill>
            <a:ln>
              <a:noFill/>
            </a:ln>
            <a:effectLst/>
          </c:spPr>
          <c:invertIfNegative val="0"/>
          <c:cat>
            <c:strRef>
              <c:f>Лист1!$A$2:$A$5</c:f>
              <c:strCache>
                <c:ptCount val="3"/>
                <c:pt idx="0">
                  <c:v>Аренда и услуги по размещению</c:v>
                </c:pt>
                <c:pt idx="1">
                  <c:v>Консультационные и организационно-технические услуги</c:v>
                </c:pt>
                <c:pt idx="2">
                  <c:v>Другие услуги по прочей операционной деятельности</c:v>
                </c:pt>
              </c:strCache>
            </c:strRef>
          </c:cat>
          <c:val>
            <c:numRef>
              <c:f>Лист1!$C$2:$C$5</c:f>
              <c:numCache>
                <c:formatCode>General</c:formatCode>
                <c:ptCount val="3"/>
                <c:pt idx="0">
                  <c:v>24794.42</c:v>
                </c:pt>
                <c:pt idx="1">
                  <c:v>6.49</c:v>
                </c:pt>
                <c:pt idx="2">
                  <c:v>1003.89</c:v>
                </c:pt>
              </c:numCache>
            </c:numRef>
          </c:val>
          <c:extLst>
            <c:ext xmlns:c16="http://schemas.microsoft.com/office/drawing/2014/chart" uri="{C3380CC4-5D6E-409C-BE32-E72D297353CC}">
              <c16:uniqueId val="{00000001-9F17-4496-8BE9-2347BF633169}"/>
            </c:ext>
          </c:extLst>
        </c:ser>
        <c:ser>
          <c:idx val="2"/>
          <c:order val="2"/>
          <c:tx>
            <c:strRef>
              <c:f>Лист1!$D$1</c:f>
              <c:strCache>
                <c:ptCount val="1"/>
                <c:pt idx="0">
                  <c:v>2023 год</c:v>
                </c:pt>
              </c:strCache>
            </c:strRef>
          </c:tx>
          <c:spPr>
            <a:prstGeom prst="rect">
              <a:avLst/>
            </a:prstGeom>
            <a:solidFill>
              <a:schemeClr val="accent3"/>
            </a:solidFill>
            <a:ln>
              <a:noFill/>
            </a:ln>
            <a:effectLst/>
          </c:spPr>
          <c:invertIfNegative val="0"/>
          <c:cat>
            <c:strRef>
              <c:f>Лист1!$A$2:$A$5</c:f>
              <c:strCache>
                <c:ptCount val="3"/>
                <c:pt idx="0">
                  <c:v>Аренда и услуги по размещению</c:v>
                </c:pt>
                <c:pt idx="1">
                  <c:v>Консультационные и организационно-технические услуги</c:v>
                </c:pt>
                <c:pt idx="2">
                  <c:v>Другие услуги по прочей операционной деятельности</c:v>
                </c:pt>
              </c:strCache>
            </c:strRef>
          </c:cat>
          <c:val>
            <c:numRef>
              <c:f>Лист1!$D$2:$D$5</c:f>
              <c:numCache>
                <c:formatCode>General</c:formatCode>
                <c:ptCount val="3"/>
                <c:pt idx="0">
                  <c:v>53345.369999999901</c:v>
                </c:pt>
                <c:pt idx="1">
                  <c:v>9.27</c:v>
                </c:pt>
                <c:pt idx="2">
                  <c:v>3078.6</c:v>
                </c:pt>
              </c:numCache>
            </c:numRef>
          </c:val>
          <c:extLst>
            <c:ext xmlns:c16="http://schemas.microsoft.com/office/drawing/2014/chart" uri="{C3380CC4-5D6E-409C-BE32-E72D297353CC}">
              <c16:uniqueId val="{00000002-9F17-4496-8BE9-2347BF633169}"/>
            </c:ext>
          </c:extLst>
        </c:ser>
        <c:dLbls>
          <c:showLegendKey val="0"/>
          <c:showVal val="0"/>
          <c:showCatName val="0"/>
          <c:showSerName val="0"/>
          <c:showPercent val="0"/>
          <c:showBubbleSize val="0"/>
        </c:dLbls>
        <c:gapWidth val="219"/>
        <c:overlap val="-27"/>
        <c:axId val="2098914479"/>
        <c:axId val="2098906159"/>
      </c:barChart>
      <c:catAx>
        <c:axId val="2098914479"/>
        <c:scaling>
          <c:orientation val="minMax"/>
        </c:scaling>
        <c:delete val="0"/>
        <c:axPos val="b"/>
        <c:numFmt formatCode="General" sourceLinked="1"/>
        <c:majorTickMark val="none"/>
        <c:minorTickMark val="none"/>
        <c:tickLblPos val="nextTo"/>
        <c:spPr bwMode="auto">
          <a:prstGeom prst="rect">
            <a:avLst/>
          </a:prstGeom>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crossAx val="2098906159"/>
        <c:crosses val="autoZero"/>
        <c:auto val="1"/>
        <c:lblAlgn val="ctr"/>
        <c:lblOffset val="100"/>
        <c:noMultiLvlLbl val="0"/>
      </c:catAx>
      <c:valAx>
        <c:axId val="2098906159"/>
        <c:scaling>
          <c:orientation val="minMax"/>
        </c:scaling>
        <c:delete val="0"/>
        <c:axPos val="l"/>
        <c:majorGridlines>
          <c:spPr bwMode="auto">
            <a:prstGeom prst="rect">
              <a:avLst/>
            </a:prstGeom>
            <a:ln w="9525" cap="flat" cmpd="sng" algn="ctr">
              <a:solidFill>
                <a:schemeClr val="tx1">
                  <a:lumMod val="15000"/>
                  <a:lumOff val="85000"/>
                </a:schemeClr>
              </a:solidFill>
              <a:round/>
            </a:ln>
            <a:effectLst/>
          </c:spPr>
        </c:majorGridlines>
        <c:numFmt formatCode="General" sourceLinked="1"/>
        <c:majorTickMark val="none"/>
        <c:minorTickMark val="none"/>
        <c:tickLblPos val="nextTo"/>
        <c:spPr>
          <a:prstGeom prst="rect">
            <a:avLst/>
          </a:prstGeom>
          <a:noFill/>
          <a:ln>
            <a:noFill/>
          </a:ln>
          <a:effectLst/>
        </c:spPr>
        <c:txPr>
          <a:bodyPr rot="-6000000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crossAx val="2098914479"/>
        <c:crosses val="autoZero"/>
        <c:crossBetween val="between"/>
      </c:valAx>
      <c:spPr>
        <a:prstGeom prst="rect">
          <a:avLst/>
        </a:prstGeom>
        <a:noFill/>
        <a:ln>
          <a:noFill/>
        </a:ln>
        <a:effectLst/>
      </c:spPr>
    </c:plotArea>
    <c:legend>
      <c:legendPos val="b"/>
      <c:overlay val="0"/>
      <c:spPr>
        <a:prstGeom prst="rect">
          <a:avLst/>
        </a:prstGeom>
        <a:noFill/>
        <a:ln>
          <a:noFill/>
        </a:ln>
        <a:effectLst/>
      </c:spPr>
      <c:txPr>
        <a:bodyPr rot="0" spcFirstLastPara="1" vertOverflow="ellipsis" vert="horz" wrap="square" anchor="ctr" anchorCtr="1"/>
        <a:lstStyle/>
        <a:p>
          <a:pPr>
            <a:defRPr sz="900" b="0" i="0" u="none" strike="noStrike" baseline="0">
              <a:solidFill>
                <a:schemeClr val="tx1">
                  <a:lumMod val="65000"/>
                  <a:lumOff val="35000"/>
                </a:schemeClr>
              </a:solidFill>
              <a:latin typeface="+mn-lt"/>
              <a:ea typeface="+mn-ea"/>
              <a:cs typeface="+mn-cs"/>
            </a:defRPr>
          </a:pPr>
          <a:endParaRPr lang="ru-RU"/>
        </a:p>
      </c:txPr>
    </c:legend>
    <c:plotVisOnly val="1"/>
    <c:dispBlanksAs val="gap"/>
    <c:showDLblsOverMax val="0"/>
  </c:chart>
  <c:spPr bwMode="auto">
    <a:prstGeom prst="rect">
      <a:avLst/>
    </a:prstGeom>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Лист1!$B$1</c:f>
              <c:strCache>
                <c:ptCount val="1"/>
                <c:pt idx="0">
                  <c:v>Продажи</c:v>
                </c:pt>
              </c:strCache>
            </c:strRef>
          </c:tx>
          <c:dPt>
            <c:idx val="0"/>
            <c:bubble3D val="0"/>
            <c:spPr>
              <a:solidFill>
                <a:schemeClr val="accent5">
                  <a:tint val="50000"/>
                </a:schemeClr>
              </a:solidFill>
              <a:ln>
                <a:noFill/>
              </a:ln>
              <a:effectLst/>
            </c:spPr>
            <c:extLst>
              <c:ext xmlns:c16="http://schemas.microsoft.com/office/drawing/2014/chart" uri="{C3380CC4-5D6E-409C-BE32-E72D297353CC}">
                <c16:uniqueId val="{00000001-28D1-45BC-BC0A-F56CA239DD9B}"/>
              </c:ext>
            </c:extLst>
          </c:dPt>
          <c:dPt>
            <c:idx val="1"/>
            <c:bubble3D val="0"/>
            <c:spPr>
              <a:solidFill>
                <a:schemeClr val="accent5">
                  <a:tint val="70000"/>
                </a:schemeClr>
              </a:solidFill>
              <a:ln>
                <a:noFill/>
              </a:ln>
              <a:effectLst/>
            </c:spPr>
            <c:extLst>
              <c:ext xmlns:c16="http://schemas.microsoft.com/office/drawing/2014/chart" uri="{C3380CC4-5D6E-409C-BE32-E72D297353CC}">
                <c16:uniqueId val="{00000003-28D1-45BC-BC0A-F56CA239DD9B}"/>
              </c:ext>
            </c:extLst>
          </c:dPt>
          <c:dPt>
            <c:idx val="2"/>
            <c:bubble3D val="0"/>
            <c:spPr>
              <a:solidFill>
                <a:schemeClr val="accent5">
                  <a:tint val="90000"/>
                </a:schemeClr>
              </a:solidFill>
              <a:ln>
                <a:noFill/>
              </a:ln>
              <a:effectLst/>
            </c:spPr>
            <c:extLst>
              <c:ext xmlns:c16="http://schemas.microsoft.com/office/drawing/2014/chart" uri="{C3380CC4-5D6E-409C-BE32-E72D297353CC}">
                <c16:uniqueId val="{00000005-28D1-45BC-BC0A-F56CA239DD9B}"/>
              </c:ext>
            </c:extLst>
          </c:dPt>
          <c:dPt>
            <c:idx val="3"/>
            <c:bubble3D val="0"/>
            <c:spPr>
              <a:solidFill>
                <a:schemeClr val="accent5">
                  <a:shade val="90000"/>
                </a:schemeClr>
              </a:solidFill>
              <a:ln>
                <a:noFill/>
              </a:ln>
              <a:effectLst/>
            </c:spPr>
            <c:extLst>
              <c:ext xmlns:c16="http://schemas.microsoft.com/office/drawing/2014/chart" uri="{C3380CC4-5D6E-409C-BE32-E72D297353CC}">
                <c16:uniqueId val="{00000007-28D1-45BC-BC0A-F56CA239DD9B}"/>
              </c:ext>
            </c:extLst>
          </c:dPt>
          <c:dPt>
            <c:idx val="4"/>
            <c:bubble3D val="0"/>
            <c:spPr>
              <a:solidFill>
                <a:schemeClr val="accent5">
                  <a:shade val="70000"/>
                </a:schemeClr>
              </a:solidFill>
              <a:ln>
                <a:noFill/>
              </a:ln>
              <a:effectLst/>
            </c:spPr>
            <c:extLst>
              <c:ext xmlns:c16="http://schemas.microsoft.com/office/drawing/2014/chart" uri="{C3380CC4-5D6E-409C-BE32-E72D297353CC}">
                <c16:uniqueId val="{00000009-28D1-45BC-BC0A-F56CA239DD9B}"/>
              </c:ext>
            </c:extLst>
          </c:dPt>
          <c:dPt>
            <c:idx val="5"/>
            <c:bubble3D val="0"/>
            <c:spPr>
              <a:solidFill>
                <a:schemeClr val="accent5">
                  <a:shade val="50000"/>
                </a:schemeClr>
              </a:solidFill>
              <a:ln>
                <a:noFill/>
              </a:ln>
              <a:effectLst/>
            </c:spPr>
            <c:extLst>
              <c:ext xmlns:c16="http://schemas.microsoft.com/office/drawing/2014/chart" uri="{C3380CC4-5D6E-409C-BE32-E72D297353CC}">
                <c16:uniqueId val="{0000000B-28D1-45BC-BC0A-F56CA239DD9B}"/>
              </c:ext>
            </c:extLst>
          </c:dPt>
          <c:dLbls>
            <c:dLbl>
              <c:idx val="0"/>
              <c:layout>
                <c:manualLayout>
                  <c:x val="6.0542554430084904E-2"/>
                  <c:y val="-0.12326656394453005"/>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8D1-45BC-BC0A-F56CA239DD9B}"/>
                </c:ext>
              </c:extLst>
            </c:dLbl>
            <c:dLbl>
              <c:idx val="1"/>
              <c:layout>
                <c:manualLayout>
                  <c:x val="6.7528233787402497E-2"/>
                  <c:y val="-7.1905495634309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8D1-45BC-BC0A-F56CA239DD9B}"/>
                </c:ext>
              </c:extLst>
            </c:dLbl>
            <c:dLbl>
              <c:idx val="2"/>
              <c:layout>
                <c:manualLayout>
                  <c:x val="8.8485271859354994E-2"/>
                  <c:y val="1.54083204930661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8D1-45BC-BC0A-F56CA239DD9B}"/>
                </c:ext>
              </c:extLst>
            </c:dLbl>
            <c:dLbl>
              <c:idx val="3"/>
              <c:layout>
                <c:manualLayout>
                  <c:x val="8.1499592502037491E-2"/>
                  <c:y val="8.21777092963532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8D1-45BC-BC0A-F56CA239DD9B}"/>
                </c:ext>
              </c:extLst>
            </c:dLbl>
            <c:dLbl>
              <c:idx val="4"/>
              <c:layout>
                <c:manualLayout>
                  <c:x val="1.6299918500407497E-2"/>
                  <c:y val="0.1848998459167950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8D1-45BC-BC0A-F56CA239DD9B}"/>
                </c:ext>
              </c:extLst>
            </c:dLbl>
            <c:dLbl>
              <c:idx val="5"/>
              <c:layout>
                <c:manualLayout>
                  <c:x val="-9.5470951216672484E-2"/>
                  <c:y val="-0.133538777606574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8D1-45BC-BC0A-F56CA239DD9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Лист1!$A$2:$A$7</c:f>
              <c:strCache>
                <c:ptCount val="6"/>
                <c:pt idx="0">
                  <c:v>ТП</c:v>
                </c:pt>
                <c:pt idx="1">
                  <c:v>ТПиР</c:v>
                </c:pt>
                <c:pt idx="2">
                  <c:v>СиПР</c:v>
                </c:pt>
                <c:pt idx="3">
                  <c:v>Прочее новое строительство</c:v>
                </c:pt>
                <c:pt idx="4">
                  <c:v>Покупка земельных участков</c:v>
                </c:pt>
                <c:pt idx="5">
                  <c:v>Прочие проекты</c:v>
                </c:pt>
              </c:strCache>
            </c:strRef>
          </c:cat>
          <c:val>
            <c:numRef>
              <c:f>Лист1!$B$2:$B$7</c:f>
              <c:numCache>
                <c:formatCode>0.0%</c:formatCode>
                <c:ptCount val="6"/>
                <c:pt idx="0">
                  <c:v>0.12311913011203185</c:v>
                </c:pt>
                <c:pt idx="1">
                  <c:v>0.14811077842393641</c:v>
                </c:pt>
                <c:pt idx="2">
                  <c:v>0</c:v>
                </c:pt>
                <c:pt idx="3">
                  <c:v>0.12325894770892552</c:v>
                </c:pt>
                <c:pt idx="4">
                  <c:v>0</c:v>
                </c:pt>
                <c:pt idx="5">
                  <c:v>0.60663271025256627</c:v>
                </c:pt>
              </c:numCache>
            </c:numRef>
          </c:val>
          <c:extLst>
            <c:ext xmlns:c16="http://schemas.microsoft.com/office/drawing/2014/chart" uri="{C3380CC4-5D6E-409C-BE32-E72D297353CC}">
              <c16:uniqueId val="{0000000C-28D1-45BC-BC0A-F56CA239DD9B}"/>
            </c:ext>
          </c:extLst>
        </c:ser>
        <c:dLbls>
          <c:showLegendKey val="0"/>
          <c:showVal val="0"/>
          <c:showCatName val="0"/>
          <c:showSerName val="0"/>
          <c:showPercent val="0"/>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legend>
    <c:plotVisOnly val="1"/>
    <c:dispBlanksAs val="gap"/>
    <c:showDLblsOverMax val="0"/>
  </c:chart>
  <c:spPr>
    <a:solidFill>
      <a:schemeClr val="bg1"/>
    </a:solidFill>
    <a:ln w="6350" cap="flat" cmpd="sng" algn="ctr">
      <a:noFill/>
      <a:prstDash val="solid"/>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99206755637431"/>
          <c:y val="8.5175983523085794E-2"/>
          <c:w val="0.79460573211849173"/>
          <c:h val="0.80875867110105026"/>
        </c:manualLayout>
      </c:layout>
      <c:barChart>
        <c:barDir val="col"/>
        <c:grouping val="stacked"/>
        <c:varyColors val="0"/>
        <c:ser>
          <c:idx val="0"/>
          <c:order val="0"/>
          <c:tx>
            <c:strRef>
              <c:f>Лист1!$B$1</c:f>
              <c:strCache>
                <c:ptCount val="1"/>
                <c:pt idx="0">
                  <c:v>займы</c:v>
                </c:pt>
              </c:strCache>
            </c:strRef>
          </c:tx>
          <c:spPr>
            <a:solidFill>
              <a:schemeClr val="accent5">
                <a:tint val="54000"/>
              </a:schemeClr>
            </a:solidFill>
            <a:ln>
              <a:noFill/>
            </a:ln>
            <a:effectLst/>
          </c:spPr>
          <c:invertIfNegative val="0"/>
          <c:dLbls>
            <c:dLbl>
              <c:idx val="0"/>
              <c:layout>
                <c:manualLayout>
                  <c:x val="0.2138804015713662"/>
                  <c:y val="1.9563090968373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14E-4109-96C1-BF48D40F278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Лист1!$B$2</c:f>
              <c:numCache>
                <c:formatCode>0.00</c:formatCode>
                <c:ptCount val="1"/>
                <c:pt idx="0">
                  <c:v>55.089546339999998</c:v>
                </c:pt>
              </c:numCache>
            </c:numRef>
          </c:val>
          <c:extLst>
            <c:ext xmlns:c16="http://schemas.microsoft.com/office/drawing/2014/chart" uri="{C3380CC4-5D6E-409C-BE32-E72D297353CC}">
              <c16:uniqueId val="{00000001-F14E-4109-96C1-BF48D40F2787}"/>
            </c:ext>
          </c:extLst>
        </c:ser>
        <c:ser>
          <c:idx val="1"/>
          <c:order val="1"/>
          <c:tx>
            <c:strRef>
              <c:f>Лист1!$C$1</c:f>
              <c:strCache>
                <c:ptCount val="1"/>
                <c:pt idx="0">
                  <c:v>собственные средства2</c:v>
                </c:pt>
              </c:strCache>
            </c:strRef>
          </c:tx>
          <c:spPr>
            <a:solidFill>
              <a:schemeClr val="accent5">
                <a:tint val="77000"/>
              </a:schemeClr>
            </a:solidFill>
            <a:ln>
              <a:noFill/>
            </a:ln>
            <a:effectLst/>
          </c:spPr>
          <c:invertIfNegative val="0"/>
          <c:dLbls>
            <c:dLbl>
              <c:idx val="0"/>
              <c:layout>
                <c:manualLayout>
                  <c:x val="2.6189436927106065E-2"/>
                  <c:y val="-1.3042060645582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4E-4109-96C1-BF48D40F278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Лист1!$C$2</c:f>
              <c:numCache>
                <c:formatCode>0.00</c:formatCode>
                <c:ptCount val="1"/>
                <c:pt idx="0">
                  <c:v>338.7426271409999</c:v>
                </c:pt>
              </c:numCache>
            </c:numRef>
          </c:val>
          <c:extLst>
            <c:ext xmlns:c16="http://schemas.microsoft.com/office/drawing/2014/chart" uri="{C3380CC4-5D6E-409C-BE32-E72D297353CC}">
              <c16:uniqueId val="{00000003-F14E-4109-96C1-BF48D40F2787}"/>
            </c:ext>
          </c:extLst>
        </c:ser>
        <c:ser>
          <c:idx val="2"/>
          <c:order val="2"/>
          <c:tx>
            <c:strRef>
              <c:f>Лист1!$D$1</c:f>
              <c:strCache>
                <c:ptCount val="1"/>
                <c:pt idx="0">
                  <c:v>средства доп. фин. поддержка</c:v>
                </c:pt>
              </c:strCache>
            </c:strRef>
          </c:tx>
          <c:spPr>
            <a:solidFill>
              <a:schemeClr val="accent5"/>
            </a:solidFill>
            <a:ln>
              <a:noFill/>
            </a:ln>
            <a:effectLst/>
          </c:spPr>
          <c:invertIfNegative val="0"/>
          <c:dLbls>
            <c:dLbl>
              <c:idx val="0"/>
              <c:layout>
                <c:manualLayout>
                  <c:x val="4.3649061545176782E-3"/>
                  <c:y val="-4.5647212259537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4E-4109-96C1-BF48D40F278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Лист1!$D$2</c:f>
              <c:numCache>
                <c:formatCode>0.00</c:formatCode>
                <c:ptCount val="1"/>
                <c:pt idx="0">
                  <c:v>2013.2490504395</c:v>
                </c:pt>
              </c:numCache>
            </c:numRef>
          </c:val>
          <c:extLst>
            <c:ext xmlns:c16="http://schemas.microsoft.com/office/drawing/2014/chart" uri="{C3380CC4-5D6E-409C-BE32-E72D297353CC}">
              <c16:uniqueId val="{00000005-F14E-4109-96C1-BF48D40F2787}"/>
            </c:ext>
          </c:extLst>
        </c:ser>
        <c:ser>
          <c:idx val="3"/>
          <c:order val="3"/>
          <c:tx>
            <c:strRef>
              <c:f>Лист1!$E$1</c:f>
              <c:strCache>
                <c:ptCount val="1"/>
                <c:pt idx="0">
                  <c:v>средства федерального бюджета</c:v>
                </c:pt>
              </c:strCache>
            </c:strRef>
          </c:tx>
          <c:spPr>
            <a:solidFill>
              <a:schemeClr val="accent5">
                <a:shade val="76000"/>
              </a:schemeClr>
            </a:solidFill>
            <a:ln>
              <a:noFill/>
            </a:ln>
            <a:effectLst/>
          </c:spPr>
          <c:invertIfNegative val="0"/>
          <c:dLbls>
            <c:dLbl>
              <c:idx val="0"/>
              <c:layout>
                <c:manualLayout>
                  <c:x val="1.7459624618070713E-2"/>
                  <c:y val="-3.258923413836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14E-4109-96C1-BF48D40F278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c:f>
              <c:numCache>
                <c:formatCode>General</c:formatCode>
                <c:ptCount val="1"/>
              </c:numCache>
            </c:numRef>
          </c:cat>
          <c:val>
            <c:numRef>
              <c:f>Лист1!$E$2</c:f>
              <c:numCache>
                <c:formatCode>0.00</c:formatCode>
                <c:ptCount val="1"/>
                <c:pt idx="0">
                  <c:v>818.12398278000001</c:v>
                </c:pt>
              </c:numCache>
            </c:numRef>
          </c:val>
          <c:extLst>
            <c:ext xmlns:c16="http://schemas.microsoft.com/office/drawing/2014/chart" uri="{C3380CC4-5D6E-409C-BE32-E72D297353CC}">
              <c16:uniqueId val="{00000007-F14E-4109-96C1-BF48D40F2787}"/>
            </c:ext>
          </c:extLst>
        </c:ser>
        <c:ser>
          <c:idx val="4"/>
          <c:order val="4"/>
          <c:tx>
            <c:strRef>
              <c:f>Лист1!$F$1</c:f>
              <c:strCache>
                <c:ptCount val="1"/>
                <c:pt idx="0">
                  <c:v>плата за ТП</c:v>
                </c:pt>
              </c:strCache>
            </c:strRef>
          </c:tx>
          <c:spPr>
            <a:solidFill>
              <a:schemeClr val="accent5">
                <a:shade val="53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numRef>
              <c:f>Лист1!$A$2</c:f>
              <c:numCache>
                <c:formatCode>General</c:formatCode>
                <c:ptCount val="1"/>
              </c:numCache>
            </c:numRef>
          </c:cat>
          <c:val>
            <c:numRef>
              <c:f>Лист1!$F$2</c:f>
              <c:numCache>
                <c:formatCode>0.00</c:formatCode>
                <c:ptCount val="1"/>
                <c:pt idx="0">
                  <c:v>749.55393913499995</c:v>
                </c:pt>
              </c:numCache>
            </c:numRef>
          </c:val>
          <c:extLst>
            <c:ext xmlns:c16="http://schemas.microsoft.com/office/drawing/2014/chart" uri="{C3380CC4-5D6E-409C-BE32-E72D297353CC}">
              <c16:uniqueId val="{00000008-F14E-4109-96C1-BF48D40F2787}"/>
            </c:ext>
          </c:extLst>
        </c:ser>
        <c:dLbls>
          <c:showLegendKey val="0"/>
          <c:showVal val="0"/>
          <c:showCatName val="0"/>
          <c:showSerName val="0"/>
          <c:showPercent val="0"/>
          <c:showBubbleSize val="0"/>
        </c:dLbls>
        <c:gapWidth val="180"/>
        <c:overlap val="100"/>
        <c:axId val="169994880"/>
        <c:axId val="170221952"/>
      </c:barChart>
      <c:catAx>
        <c:axId val="169994880"/>
        <c:scaling>
          <c:orientation val="minMax"/>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170221952"/>
        <c:crosses val="autoZero"/>
        <c:auto val="1"/>
        <c:lblAlgn val="ctr"/>
        <c:lblOffset val="100"/>
        <c:noMultiLvlLbl val="0"/>
      </c:catAx>
      <c:valAx>
        <c:axId val="170221952"/>
        <c:scaling>
          <c:orientation val="minMax"/>
          <c:max val="4000"/>
        </c:scaling>
        <c:delete val="0"/>
        <c:axPos val="l"/>
        <c:majorGridlines>
          <c:spPr>
            <a:ln w="6350" cap="flat" cmpd="sng" algn="ctr">
              <a:solidFill>
                <a:schemeClr val="tx1">
                  <a:tint val="75000"/>
                </a:schemeClr>
              </a:solidFill>
              <a:prstDash val="solid"/>
              <a:round/>
            </a:ln>
            <a:effectLst/>
          </c:spPr>
        </c:majorGridlines>
        <c:numFmt formatCode="0.00"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ru-RU"/>
          </a:p>
        </c:txPr>
        <c:crossAx val="169994880"/>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withinLinear" id="14">
  <a:schemeClr val="accent1"/>
</cs:colorStyle>
</file>

<file path=word/charts/colors10.xml><?xml version="1.0" encoding="utf-8"?>
<cs:colorStyle xmlns:cs="http://schemas.microsoft.com/office/drawing/2012/chartStyle" xmlns:a="http://schemas.openxmlformats.org/drawingml/2006/main" meth="withinLinearReversed" id="25">
  <a:schemeClr val="accent5"/>
</cs:colorStyle>
</file>

<file path=word/charts/colors11.xml><?xml version="1.0" encoding="utf-8"?>
<cs:colorStyle xmlns:cs="http://schemas.microsoft.com/office/drawing/2012/chartStyle" xmlns:a="http://schemas.openxmlformats.org/drawingml/2006/main" meth="withinLinearReversed" id="25">
  <a:schemeClr val="accent5"/>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 id="14">
  <a:schemeClr val="accent1"/>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Reversed" id="25">
  <a:schemeClr val="accent5"/>
</cs:colorStyle>
</file>

<file path=word/charts/colors6.xml><?xml version="1.0" encoding="utf-8"?>
<cs:colorStyle xmlns:cs="http://schemas.microsoft.com/office/drawing/2012/chartStyle" xmlns:a="http://schemas.openxmlformats.org/drawingml/2006/main" meth="withinLinearReversed" id="25">
  <a:schemeClr val="accent5"/>
</cs:colorStyle>
</file>

<file path=word/charts/colors7.xml><?xml version="1.0" encoding="utf-8"?>
<cs:colorStyle xmlns:cs="http://schemas.microsoft.com/office/drawing/2012/chartStyle" xmlns:a="http://schemas.openxmlformats.org/drawingml/2006/main" meth="withinLinearReversed" id="25">
  <a:schemeClr val="accent5"/>
</cs:colorStyle>
</file>

<file path=word/charts/colors8.xml><?xml version="1.0" encoding="utf-8"?>
<cs:colorStyle xmlns:cs="http://schemas.microsoft.com/office/drawing/2012/chartStyle" xmlns:a="http://schemas.openxmlformats.org/drawingml/2006/main" meth="withinLinearReversed" id="25">
  <a:schemeClr val="accent5"/>
</cs:colorStyle>
</file>

<file path=word/charts/colors9.xml><?xml version="1.0" encoding="utf-8"?>
<cs:colorStyle xmlns:cs="http://schemas.microsoft.com/office/drawing/2012/chartStyle" xmlns:a="http://schemas.openxmlformats.org/drawingml/2006/main" meth="withinLinearReversed" id="25">
  <a:schemeClr val="accent5"/>
</cs:colorStyle>
</file>

<file path=word/charts/style1.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1200" b="1"/>
  </cs:axisTitle>
  <cs:categoryAxis>
    <cs:lnRef idx="0"/>
    <cs:fillRef idx="0"/>
    <cs:effectRef idx="0"/>
    <cs:fontRef idx="minor">
      <a:schemeClr val="tx1">
        <a:lumMod val="65000"/>
        <a:lumOff val="35000"/>
      </a:schemeClr>
    </cs:fontRef>
    <cs:spPr bwMode="auto">
      <a:prstGeom prst="rect">
        <a:avLst/>
      </a:prstGeom>
      <a:ln w="19050" cap="flat" cmpd="sng" algn="ctr">
        <a:solidFill>
          <a:schemeClr val="tx1">
            <a:lumMod val="25000"/>
            <a:lumOff val="75000"/>
          </a:schemeClr>
        </a:solidFill>
        <a:round/>
      </a:ln>
    </cs:spPr>
    <cs:defRPr sz="1200"/>
  </cs:categoryAxis>
  <cs:chartArea>
    <cs:lnRef idx="0"/>
    <cs:fillRef idx="0"/>
    <cs:effectRef idx="0"/>
    <cs:fontRef idx="minor">
      <a:schemeClr val="dk1"/>
    </cs:fontRef>
    <cs:spPr bwMode="auto">
      <a:prstGeom prst="rect">
        <a:avLst/>
      </a:prstGeom>
      <a:solidFill>
        <a:schemeClr val="bg1"/>
      </a:solidFill>
      <a:ln w="9525" cap="flat" cmpd="sng" algn="ctr">
        <a:solidFill>
          <a:schemeClr val="tx1">
            <a:lumMod val="15000"/>
            <a:lumOff val="85000"/>
          </a:schemeClr>
        </a:solidFill>
        <a:round/>
      </a:ln>
    </cs:spPr>
    <cs:defRPr sz="1200"/>
  </cs:chartArea>
  <cs:dataLabel>
    <cs:lnRef idx="0"/>
    <cs:fillRef idx="0"/>
    <cs:effectRef idx="0"/>
    <cs:fontRef idx="minor">
      <a:schemeClr val="tx1">
        <a:lumMod val="75000"/>
        <a:lumOff val="25000"/>
      </a:schemeClr>
    </cs:fontRef>
    <cs:defRPr sz="1200"/>
  </cs:dataLabel>
  <cs:dataLabelCallout>
    <cs:lnRef idx="0"/>
    <cs:fillRef idx="0"/>
    <cs:effectRef idx="0"/>
    <cs:fontRef idx="minor">
      <a:schemeClr val="tx1">
        <a:lumMod val="75000"/>
        <a:lumOff val="25000"/>
      </a:schemeClr>
    </cs:fontRef>
    <cs:defRPr sz="1200"/>
  </cs:dataLabelCallout>
  <cs:dataPoint>
    <cs:lnRef idx="0"/>
    <cs:fillRef idx="0">
      <cs:styleClr val="auto"/>
    </cs:fillRef>
    <cs:effectRef idx="0">
      <cs:styleClr val="auto"/>
    </cs:effectRef>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bwMode="auto">
      <a:prstGeom prst="rect">
        <a:avLst/>
      </a:prstGeom>
      <a:ln w="28575" cap="rnd">
        <a:solidFill>
          <a:schemeClr val="phClr"/>
        </a:solidFill>
        <a:round/>
      </a:ln>
    </cs:spPr>
  </cs:dataPointLine>
  <cs:dataPointMarker>
    <cs:lnRef idx="0"/>
    <cs:fillRef idx="0">
      <cs:styleClr val="auto"/>
    </cs:fillRef>
    <cs:effectRef idx="0"/>
    <cs:fontRef idx="minor">
      <a:schemeClr val="dk1"/>
    </cs:fontRef>
    <cs:spPr bwMode="auto">
      <a:prstGeom prst="rect">
        <a:avLst/>
      </a:prstGeom>
      <a:solidFill>
        <a:schemeClr val="phClr"/>
      </a:solidFill>
    </cs:spPr>
  </cs:dataPointMarker>
  <cs:dataPointMarkerLayout/>
  <cs:dataPointWireframe>
    <cs:lnRef idx="0">
      <cs:styleClr val="auto"/>
    </cs:lnRef>
    <cs:fillRef idx="0"/>
    <cs:effectRef idx="0"/>
    <cs:fontRef idx="minor">
      <a:schemeClr val="dk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ln w="9525">
        <a:solidFill>
          <a:schemeClr val="tx1">
            <a:lumMod val="15000"/>
            <a:lumOff val="85000"/>
          </a:schemeClr>
        </a:solidFill>
      </a:ln>
    </cs:spPr>
    <cs:defRPr sz="1200"/>
  </cs:dataTable>
  <cs:downBar>
    <cs:lnRef idx="0"/>
    <cs:fillRef idx="0"/>
    <cs:effectRef idx="0"/>
    <cs:fontRef idx="minor">
      <a:schemeClr val="dk1"/>
    </cs:fontRef>
    <cs:spPr bwMode="auto">
      <a:prstGeom prst="rect">
        <a:avLst/>
      </a:prstGeom>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bwMode="auto">
      <a:prstGeom prst="rect">
        <a:avLst/>
      </a:prstGeom>
      <a:ln w="9525">
        <a:solidFill>
          <a:schemeClr val="tx1">
            <a:lumMod val="35000"/>
            <a:lumOff val="65000"/>
          </a:schemeClr>
        </a:solidFill>
        <a:round/>
      </a:ln>
    </cs:spPr>
  </cs:dropLine>
  <cs:errorBar>
    <cs:lnRef idx="0"/>
    <cs:fillRef idx="0"/>
    <cs:effectRef idx="0"/>
    <cs:fontRef idx="minor">
      <a:schemeClr val="dk1"/>
    </cs:fontRef>
    <cs:spPr bwMode="auto">
      <a:prstGeom prst="rect">
        <a:avLst/>
      </a:prstGeom>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bwMode="auto">
      <a:prstGeom prst="rect">
        <a:avLst/>
      </a:prstGeom>
      <a:ln>
        <a:solidFill>
          <a:schemeClr val="tx1">
            <a:lumMod val="15000"/>
            <a:lumOff val="85000"/>
          </a:schemeClr>
        </a:solidFill>
      </a:ln>
    </cs:spPr>
  </cs:gridlineMajor>
  <cs:gridlineMinor>
    <cs:lnRef idx="0"/>
    <cs:fillRef idx="0"/>
    <cs:effectRef idx="0"/>
    <cs:fontRef idx="minor">
      <a:schemeClr val="dk1"/>
    </cs:fontRef>
    <cs:spPr bwMode="auto">
      <a:prstGeom prst="rect">
        <a:avLst/>
      </a:prstGeom>
      <a:ln>
        <a:solidFill>
          <a:schemeClr val="tx1">
            <a:lumMod val="5000"/>
            <a:lumOff val="95000"/>
          </a:schemeClr>
        </a:solidFill>
      </a:ln>
    </cs:spPr>
  </cs:gridlineMinor>
  <cs:hiLoLine>
    <cs:lnRef idx="0"/>
    <cs:fillRef idx="0"/>
    <cs:effectRef idx="0"/>
    <cs:fontRef idx="minor">
      <a:schemeClr val="dk1"/>
    </cs:fontRef>
    <cs:spPr bwMode="auto">
      <a:prstGeom prst="rect">
        <a:avLst/>
      </a:prstGeom>
      <a:ln w="9525">
        <a:solidFill>
          <a:schemeClr val="tx1">
            <a:lumMod val="35000"/>
            <a:lumOff val="65000"/>
          </a:schemeClr>
        </a:solidFill>
        <a:round/>
      </a:ln>
    </cs:spPr>
  </cs:hiLoLine>
  <cs:leaderLine>
    <cs:lnRef idx="0"/>
    <cs:fillRef idx="0"/>
    <cs:effectRef idx="0"/>
    <cs:fontRef idx="minor">
      <a:schemeClr val="dk1"/>
    </cs:fontRef>
    <cs:spPr bwMode="auto">
      <a:prstGeom prst="rect">
        <a:avLst/>
      </a:prstGeom>
      <a:ln w="9525">
        <a:solidFill>
          <a:schemeClr val="tx1">
            <a:lumMod val="35000"/>
            <a:lumOff val="65000"/>
          </a:schemeClr>
        </a:solidFill>
      </a:ln>
    </cs:spPr>
  </cs:leaderLine>
  <cs:legend>
    <cs:lnRef idx="0"/>
    <cs:fillRef idx="0"/>
    <cs:effectRef idx="0"/>
    <cs:fontRef idx="minor">
      <a:schemeClr val="tx1">
        <a:lumMod val="65000"/>
        <a:lumOff val="35000"/>
      </a:schemeClr>
    </cs:fontRef>
    <cs:defRPr sz="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tx1">
        <a:lumMod val="65000"/>
        <a:lumOff val="35000"/>
      </a:schemeClr>
    </cs:fontRef>
    <cs:defRPr sz="1200"/>
  </cs:seriesAxis>
  <cs:seriesLine>
    <cs:lnRef idx="0"/>
    <cs:fillRef idx="0"/>
    <cs:effectRef idx="0"/>
    <cs:fontRef idx="minor">
      <a:schemeClr val="dk1"/>
    </cs:fontRef>
    <cs:spPr bwMode="auto">
      <a:prstGeom prst="rect">
        <a:avLst/>
      </a:prstGeom>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2200" b="1" cap="all" spc="149"/>
  </cs:title>
  <cs:trendline>
    <cs:lnRef idx="0">
      <cs:styleClr val="auto"/>
    </cs:lnRef>
    <cs:fillRef idx="0"/>
    <cs:effectRef idx="0"/>
    <cs:fontRef idx="minor">
      <a:schemeClr val="dk1"/>
    </cs:fontRef>
    <cs:spPr bwMode="auto">
      <a:prstGeom prst="rect">
        <a:avLst/>
      </a:prstGeom>
      <a:ln w="19050" cap="rnd">
        <a:solidFill>
          <a:schemeClr val="phClr"/>
        </a:solidFill>
      </a:ln>
    </cs:spPr>
  </cs:trendline>
  <cs:trendlineLabel>
    <cs:lnRef idx="0"/>
    <cs:fillRef idx="0"/>
    <cs:effectRef idx="0"/>
    <cs:fontRef idx="minor">
      <a:schemeClr val="tx1">
        <a:lumMod val="65000"/>
        <a:lumOff val="35000"/>
      </a:schemeClr>
    </cs:fontRef>
    <cs:defRPr sz="1200"/>
  </cs:trendlineLabel>
  <cs:upBar>
    <cs:lnRef idx="0"/>
    <cs:fillRef idx="0"/>
    <cs:effectRef idx="0"/>
    <cs:fontRef idx="minor">
      <a:schemeClr val="dk1"/>
    </cs:fontRef>
    <cs:spPr bwMode="auto">
      <a:prstGeom prst="rect">
        <a:avLst/>
      </a:prstGeom>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round/>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50000"/>
            <a:lumOff val="50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round/>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50000"/>
            <a:lumOff val="50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a:solidFill>
          <a:schemeClr val="tx1">
            <a:lumMod val="65000"/>
            <a:lumOff val="35000"/>
          </a:schemeClr>
        </a:solidFill>
        <a:round/>
      </a:ln>
    </cs:spPr>
  </cs:downBar>
  <cs:dropLine>
    <cs:lnRef idx="0"/>
    <cs:fillRef idx="0"/>
    <cs:effectRef idx="0"/>
    <cs:fontRef idx="minor">
      <a:schemeClr val="tx1"/>
    </cs:fontRef>
    <cs:spPr>
      <a:ln w="9525">
        <a:solidFill>
          <a:schemeClr val="tx1">
            <a:lumMod val="35000"/>
            <a:lumOff val="65000"/>
          </a:schemeClr>
        </a:solidFill>
        <a:round/>
      </a:ln>
    </cs:spPr>
  </cs:dropLine>
  <cs:errorBar>
    <cs:lnRef idx="0"/>
    <cs:fillRef idx="0"/>
    <cs:effectRef idx="0"/>
    <cs:fontRef idx="minor">
      <a:schemeClr val="tx1"/>
    </cs:fontRef>
    <cs:spPr>
      <a:ln w="9525">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a:solidFill>
          <a:schemeClr val="tx1">
            <a:lumMod val="15000"/>
            <a:lumOff val="85000"/>
          </a:schemeClr>
        </a:solidFill>
        <a:round/>
      </a:ln>
    </cs:spPr>
  </cs:gridlineMajor>
  <cs:gridlineMinor>
    <cs:lnRef idx="0"/>
    <cs:fillRef idx="0"/>
    <cs:effectRef idx="0"/>
    <cs:fontRef idx="minor">
      <a:schemeClr val="tx1"/>
    </cs:fontRef>
    <cs:spPr>
      <a:ln w="9525">
        <a:solidFill>
          <a:schemeClr val="tx1">
            <a:lumMod val="5000"/>
            <a:lumOff val="95000"/>
          </a:schemeClr>
        </a:solidFill>
        <a:round/>
      </a:ln>
    </cs:spPr>
  </cs:gridlineMinor>
  <cs:hiLoLine>
    <cs:lnRef idx="0"/>
    <cs:fillRef idx="0"/>
    <cs:effectRef idx="0"/>
    <cs:fontRef idx="minor">
      <a:schemeClr val="tx1"/>
    </cs:fontRef>
    <cs:spPr>
      <a:ln w="9525">
        <a:solidFill>
          <a:schemeClr val="tx1">
            <a:lumMod val="50000"/>
            <a:lumOff val="50000"/>
          </a:schemeClr>
        </a:solidFill>
        <a:round/>
      </a:ln>
    </cs:spPr>
  </cs:hiLoLine>
  <cs:leaderLine>
    <cs:lnRef idx="0"/>
    <cs:fillRef idx="0"/>
    <cs:effectRef idx="0"/>
    <cs:fontRef idx="minor">
      <a:schemeClr val="tx1"/>
    </cs:fontRef>
    <cs:spPr>
      <a:ln w="9525">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1200" b="1"/>
  </cs:axisTitle>
  <cs:categoryAxis>
    <cs:lnRef idx="0"/>
    <cs:fillRef idx="0"/>
    <cs:effectRef idx="0"/>
    <cs:fontRef idx="minor">
      <a:schemeClr val="tx1">
        <a:lumMod val="65000"/>
        <a:lumOff val="35000"/>
      </a:schemeClr>
    </cs:fontRef>
    <cs:spPr bwMode="auto">
      <a:prstGeom prst="rect">
        <a:avLst/>
      </a:prstGeom>
      <a:ln w="19050" cap="flat" cmpd="sng" algn="ctr">
        <a:solidFill>
          <a:schemeClr val="tx1">
            <a:lumMod val="25000"/>
            <a:lumOff val="75000"/>
          </a:schemeClr>
        </a:solidFill>
        <a:round/>
      </a:ln>
    </cs:spPr>
    <cs:defRPr sz="1200"/>
  </cs:categoryAxis>
  <cs:chartArea>
    <cs:lnRef idx="0"/>
    <cs:fillRef idx="0"/>
    <cs:effectRef idx="0"/>
    <cs:fontRef idx="minor">
      <a:schemeClr val="dk1"/>
    </cs:fontRef>
    <cs:spPr bwMode="auto">
      <a:prstGeom prst="rect">
        <a:avLst/>
      </a:prstGeom>
      <a:solidFill>
        <a:schemeClr val="bg1"/>
      </a:solidFill>
      <a:ln w="9525" cap="flat" cmpd="sng" algn="ctr">
        <a:solidFill>
          <a:schemeClr val="tx1">
            <a:lumMod val="15000"/>
            <a:lumOff val="85000"/>
          </a:schemeClr>
        </a:solidFill>
        <a:round/>
      </a:ln>
    </cs:spPr>
    <cs:defRPr sz="1200"/>
  </cs:chartArea>
  <cs:dataLabel>
    <cs:lnRef idx="0"/>
    <cs:fillRef idx="0"/>
    <cs:effectRef idx="0"/>
    <cs:fontRef idx="minor">
      <a:schemeClr val="tx1">
        <a:lumMod val="75000"/>
        <a:lumOff val="25000"/>
      </a:schemeClr>
    </cs:fontRef>
    <cs:defRPr sz="1200"/>
  </cs:dataLabel>
  <cs:dataLabelCallout>
    <cs:lnRef idx="0"/>
    <cs:fillRef idx="0"/>
    <cs:effectRef idx="0"/>
    <cs:fontRef idx="minor">
      <a:schemeClr val="tx1">
        <a:lumMod val="75000"/>
        <a:lumOff val="25000"/>
      </a:schemeClr>
    </cs:fontRef>
    <cs:defRPr sz="1200"/>
  </cs:dataLabelCallout>
  <cs:dataPoint>
    <cs:lnRef idx="0"/>
    <cs:fillRef idx="0">
      <cs:styleClr val="auto"/>
    </cs:fillRef>
    <cs:effectRef idx="0">
      <cs:styleClr val="auto"/>
    </cs:effectRef>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bwMode="auto">
      <a:prstGeom prst="rect">
        <a:avLst/>
      </a:prstGeom>
      <a:ln w="28575" cap="rnd">
        <a:solidFill>
          <a:schemeClr val="phClr"/>
        </a:solidFill>
        <a:round/>
      </a:ln>
    </cs:spPr>
  </cs:dataPointLine>
  <cs:dataPointMarker>
    <cs:lnRef idx="0"/>
    <cs:fillRef idx="0">
      <cs:styleClr val="auto"/>
    </cs:fillRef>
    <cs:effectRef idx="0"/>
    <cs:fontRef idx="minor">
      <a:schemeClr val="dk1"/>
    </cs:fontRef>
    <cs:spPr bwMode="auto">
      <a:prstGeom prst="rect">
        <a:avLst/>
      </a:prstGeom>
      <a:solidFill>
        <a:schemeClr val="phClr"/>
      </a:solidFill>
    </cs:spPr>
  </cs:dataPointMarker>
  <cs:dataPointMarkerLayout/>
  <cs:dataPointWireframe>
    <cs:lnRef idx="0">
      <cs:styleClr val="auto"/>
    </cs:lnRef>
    <cs:fillRef idx="0"/>
    <cs:effectRef idx="0"/>
    <cs:fontRef idx="minor">
      <a:schemeClr val="dk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ln w="9525">
        <a:solidFill>
          <a:schemeClr val="tx1">
            <a:lumMod val="15000"/>
            <a:lumOff val="85000"/>
          </a:schemeClr>
        </a:solidFill>
      </a:ln>
    </cs:spPr>
    <cs:defRPr sz="1200"/>
  </cs:dataTable>
  <cs:downBar>
    <cs:lnRef idx="0"/>
    <cs:fillRef idx="0"/>
    <cs:effectRef idx="0"/>
    <cs:fontRef idx="minor">
      <a:schemeClr val="dk1"/>
    </cs:fontRef>
    <cs:spPr bwMode="auto">
      <a:prstGeom prst="rect">
        <a:avLst/>
      </a:prstGeom>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bwMode="auto">
      <a:prstGeom prst="rect">
        <a:avLst/>
      </a:prstGeom>
      <a:ln w="9525">
        <a:solidFill>
          <a:schemeClr val="tx1">
            <a:lumMod val="35000"/>
            <a:lumOff val="65000"/>
          </a:schemeClr>
        </a:solidFill>
        <a:round/>
      </a:ln>
    </cs:spPr>
  </cs:dropLine>
  <cs:errorBar>
    <cs:lnRef idx="0"/>
    <cs:fillRef idx="0"/>
    <cs:effectRef idx="0"/>
    <cs:fontRef idx="minor">
      <a:schemeClr val="dk1"/>
    </cs:fontRef>
    <cs:spPr bwMode="auto">
      <a:prstGeom prst="rect">
        <a:avLst/>
      </a:prstGeom>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bwMode="auto">
      <a:prstGeom prst="rect">
        <a:avLst/>
      </a:prstGeom>
      <a:ln>
        <a:solidFill>
          <a:schemeClr val="tx1">
            <a:lumMod val="15000"/>
            <a:lumOff val="85000"/>
          </a:schemeClr>
        </a:solidFill>
      </a:ln>
    </cs:spPr>
  </cs:gridlineMajor>
  <cs:gridlineMinor>
    <cs:lnRef idx="0"/>
    <cs:fillRef idx="0"/>
    <cs:effectRef idx="0"/>
    <cs:fontRef idx="minor">
      <a:schemeClr val="dk1"/>
    </cs:fontRef>
    <cs:spPr bwMode="auto">
      <a:prstGeom prst="rect">
        <a:avLst/>
      </a:prstGeom>
      <a:ln>
        <a:solidFill>
          <a:schemeClr val="tx1">
            <a:lumMod val="5000"/>
            <a:lumOff val="95000"/>
          </a:schemeClr>
        </a:solidFill>
      </a:ln>
    </cs:spPr>
  </cs:gridlineMinor>
  <cs:hiLoLine>
    <cs:lnRef idx="0"/>
    <cs:fillRef idx="0"/>
    <cs:effectRef idx="0"/>
    <cs:fontRef idx="minor">
      <a:schemeClr val="dk1"/>
    </cs:fontRef>
    <cs:spPr bwMode="auto">
      <a:prstGeom prst="rect">
        <a:avLst/>
      </a:prstGeom>
      <a:ln w="9525">
        <a:solidFill>
          <a:schemeClr val="tx1">
            <a:lumMod val="35000"/>
            <a:lumOff val="65000"/>
          </a:schemeClr>
        </a:solidFill>
        <a:round/>
      </a:ln>
    </cs:spPr>
  </cs:hiLoLine>
  <cs:leaderLine>
    <cs:lnRef idx="0"/>
    <cs:fillRef idx="0"/>
    <cs:effectRef idx="0"/>
    <cs:fontRef idx="minor">
      <a:schemeClr val="dk1"/>
    </cs:fontRef>
    <cs:spPr bwMode="auto">
      <a:prstGeom prst="rect">
        <a:avLst/>
      </a:prstGeom>
      <a:ln w="9525">
        <a:solidFill>
          <a:schemeClr val="tx1">
            <a:lumMod val="35000"/>
            <a:lumOff val="65000"/>
          </a:schemeClr>
        </a:solidFill>
      </a:ln>
    </cs:spPr>
  </cs:leaderLine>
  <cs:legend>
    <cs:lnRef idx="0"/>
    <cs:fillRef idx="0"/>
    <cs:effectRef idx="0"/>
    <cs:fontRef idx="minor">
      <a:schemeClr val="tx1">
        <a:lumMod val="65000"/>
        <a:lumOff val="35000"/>
      </a:schemeClr>
    </cs:fontRef>
    <cs:defRPr sz="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tx1">
        <a:lumMod val="65000"/>
        <a:lumOff val="35000"/>
      </a:schemeClr>
    </cs:fontRef>
    <cs:defRPr sz="1200"/>
  </cs:seriesAxis>
  <cs:seriesLine>
    <cs:lnRef idx="0"/>
    <cs:fillRef idx="0"/>
    <cs:effectRef idx="0"/>
    <cs:fontRef idx="minor">
      <a:schemeClr val="dk1"/>
    </cs:fontRef>
    <cs:spPr bwMode="auto">
      <a:prstGeom prst="rect">
        <a:avLst/>
      </a:prstGeom>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2200" b="1" cap="all" spc="149"/>
  </cs:title>
  <cs:trendline>
    <cs:lnRef idx="0">
      <cs:styleClr val="auto"/>
    </cs:lnRef>
    <cs:fillRef idx="0"/>
    <cs:effectRef idx="0"/>
    <cs:fontRef idx="minor">
      <a:schemeClr val="dk1"/>
    </cs:fontRef>
    <cs:spPr bwMode="auto">
      <a:prstGeom prst="rect">
        <a:avLst/>
      </a:prstGeom>
      <a:ln w="19050" cap="rnd">
        <a:solidFill>
          <a:schemeClr val="phClr"/>
        </a:solidFill>
      </a:ln>
    </cs:spPr>
  </cs:trendline>
  <cs:trendlineLabel>
    <cs:lnRef idx="0"/>
    <cs:fillRef idx="0"/>
    <cs:effectRef idx="0"/>
    <cs:fontRef idx="minor">
      <a:schemeClr val="tx1">
        <a:lumMod val="65000"/>
        <a:lumOff val="35000"/>
      </a:schemeClr>
    </cs:fontRef>
    <cs:defRPr sz="1200"/>
  </cs:trendlineLabel>
  <cs:upBar>
    <cs:lnRef idx="0"/>
    <cs:fillRef idx="0"/>
    <cs:effectRef idx="0"/>
    <cs:fontRef idx="minor">
      <a:schemeClr val="dk1"/>
    </cs:fontRef>
    <cs:spPr bwMode="auto">
      <a:prstGeom prst="rect">
        <a:avLst/>
      </a:prstGeom>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1200" b="1"/>
  </cs:axisTitle>
  <cs:categoryAxis>
    <cs:lnRef idx="0"/>
    <cs:fillRef idx="0"/>
    <cs:effectRef idx="0"/>
    <cs:fontRef idx="minor">
      <a:schemeClr val="tx1">
        <a:lumMod val="65000"/>
        <a:lumOff val="35000"/>
      </a:schemeClr>
    </cs:fontRef>
    <cs:spPr bwMode="auto">
      <a:prstGeom prst="rect">
        <a:avLst/>
      </a:prstGeom>
      <a:ln w="19050" cap="flat" cmpd="sng" algn="ctr">
        <a:solidFill>
          <a:schemeClr val="tx1">
            <a:lumMod val="25000"/>
            <a:lumOff val="75000"/>
          </a:schemeClr>
        </a:solidFill>
        <a:round/>
      </a:ln>
    </cs:spPr>
    <cs:defRPr sz="1200"/>
  </cs:categoryAxis>
  <cs:chartArea>
    <cs:lnRef idx="0"/>
    <cs:fillRef idx="0"/>
    <cs:effectRef idx="0"/>
    <cs:fontRef idx="minor">
      <a:schemeClr val="dk1"/>
    </cs:fontRef>
    <cs:spPr bwMode="auto">
      <a:prstGeom prst="rect">
        <a:avLst/>
      </a:prstGeom>
      <a:solidFill>
        <a:schemeClr val="bg1"/>
      </a:solidFill>
      <a:ln w="9525" cap="flat" cmpd="sng" algn="ctr">
        <a:solidFill>
          <a:schemeClr val="tx1">
            <a:lumMod val="15000"/>
            <a:lumOff val="85000"/>
          </a:schemeClr>
        </a:solidFill>
        <a:round/>
      </a:ln>
    </cs:spPr>
    <cs:defRPr sz="1200"/>
  </cs:chartArea>
  <cs:dataLabel>
    <cs:lnRef idx="0"/>
    <cs:fillRef idx="0"/>
    <cs:effectRef idx="0"/>
    <cs:fontRef idx="minor">
      <a:schemeClr val="tx1">
        <a:lumMod val="75000"/>
        <a:lumOff val="25000"/>
      </a:schemeClr>
    </cs:fontRef>
    <cs:defRPr sz="1200"/>
  </cs:dataLabel>
  <cs:dataLabelCallout>
    <cs:lnRef idx="0"/>
    <cs:fillRef idx="0"/>
    <cs:effectRef idx="0"/>
    <cs:fontRef idx="minor">
      <a:schemeClr val="tx1">
        <a:lumMod val="75000"/>
        <a:lumOff val="25000"/>
      </a:schemeClr>
    </cs:fontRef>
    <cs:defRPr sz="1200"/>
  </cs:dataLabelCallout>
  <cs:dataPoint>
    <cs:lnRef idx="0"/>
    <cs:fillRef idx="0">
      <cs:styleClr val="auto"/>
    </cs:fillRef>
    <cs:effectRef idx="0">
      <cs:styleClr val="auto"/>
    </cs:effectRef>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bwMode="auto">
      <a:prstGeom prst="rect">
        <a:avLst/>
      </a:prstGeom>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bwMode="auto">
      <a:prstGeom prst="rect">
        <a:avLst/>
      </a:prstGeom>
      <a:ln w="28575" cap="rnd">
        <a:solidFill>
          <a:schemeClr val="phClr"/>
        </a:solidFill>
        <a:round/>
      </a:ln>
    </cs:spPr>
  </cs:dataPointLine>
  <cs:dataPointMarker>
    <cs:lnRef idx="0"/>
    <cs:fillRef idx="0">
      <cs:styleClr val="auto"/>
    </cs:fillRef>
    <cs:effectRef idx="0"/>
    <cs:fontRef idx="minor">
      <a:schemeClr val="dk1"/>
    </cs:fontRef>
    <cs:spPr bwMode="auto">
      <a:prstGeom prst="rect">
        <a:avLst/>
      </a:prstGeom>
      <a:solidFill>
        <a:schemeClr val="phClr"/>
      </a:solidFill>
    </cs:spPr>
  </cs:dataPointMarker>
  <cs:dataPointMarkerLayout/>
  <cs:dataPointWireframe>
    <cs:lnRef idx="0">
      <cs:styleClr val="auto"/>
    </cs:lnRef>
    <cs:fillRef idx="0"/>
    <cs:effectRef idx="0"/>
    <cs:fontRef idx="minor">
      <a:schemeClr val="dk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ln w="9525">
        <a:solidFill>
          <a:schemeClr val="tx1">
            <a:lumMod val="15000"/>
            <a:lumOff val="85000"/>
          </a:schemeClr>
        </a:solidFill>
      </a:ln>
    </cs:spPr>
    <cs:defRPr sz="1200"/>
  </cs:dataTable>
  <cs:downBar>
    <cs:lnRef idx="0"/>
    <cs:fillRef idx="0"/>
    <cs:effectRef idx="0"/>
    <cs:fontRef idx="minor">
      <a:schemeClr val="dk1"/>
    </cs:fontRef>
    <cs:spPr bwMode="auto">
      <a:prstGeom prst="rect">
        <a:avLst/>
      </a:prstGeom>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bwMode="auto">
      <a:prstGeom prst="rect">
        <a:avLst/>
      </a:prstGeom>
      <a:ln w="9525">
        <a:solidFill>
          <a:schemeClr val="tx1">
            <a:lumMod val="35000"/>
            <a:lumOff val="65000"/>
          </a:schemeClr>
        </a:solidFill>
        <a:round/>
      </a:ln>
    </cs:spPr>
  </cs:dropLine>
  <cs:errorBar>
    <cs:lnRef idx="0"/>
    <cs:fillRef idx="0"/>
    <cs:effectRef idx="0"/>
    <cs:fontRef idx="minor">
      <a:schemeClr val="dk1"/>
    </cs:fontRef>
    <cs:spPr bwMode="auto">
      <a:prstGeom prst="rect">
        <a:avLst/>
      </a:prstGeom>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bwMode="auto">
      <a:prstGeom prst="rect">
        <a:avLst/>
      </a:prstGeom>
      <a:ln>
        <a:solidFill>
          <a:schemeClr val="tx1">
            <a:lumMod val="15000"/>
            <a:lumOff val="85000"/>
          </a:schemeClr>
        </a:solidFill>
      </a:ln>
    </cs:spPr>
  </cs:gridlineMajor>
  <cs:gridlineMinor>
    <cs:lnRef idx="0"/>
    <cs:fillRef idx="0"/>
    <cs:effectRef idx="0"/>
    <cs:fontRef idx="minor">
      <a:schemeClr val="dk1"/>
    </cs:fontRef>
    <cs:spPr bwMode="auto">
      <a:prstGeom prst="rect">
        <a:avLst/>
      </a:prstGeom>
      <a:ln>
        <a:solidFill>
          <a:schemeClr val="tx1">
            <a:lumMod val="5000"/>
            <a:lumOff val="95000"/>
          </a:schemeClr>
        </a:solidFill>
      </a:ln>
    </cs:spPr>
  </cs:gridlineMinor>
  <cs:hiLoLine>
    <cs:lnRef idx="0"/>
    <cs:fillRef idx="0"/>
    <cs:effectRef idx="0"/>
    <cs:fontRef idx="minor">
      <a:schemeClr val="dk1"/>
    </cs:fontRef>
    <cs:spPr bwMode="auto">
      <a:prstGeom prst="rect">
        <a:avLst/>
      </a:prstGeom>
      <a:ln w="9525">
        <a:solidFill>
          <a:schemeClr val="tx1">
            <a:lumMod val="35000"/>
            <a:lumOff val="65000"/>
          </a:schemeClr>
        </a:solidFill>
        <a:round/>
      </a:ln>
    </cs:spPr>
  </cs:hiLoLine>
  <cs:leaderLine>
    <cs:lnRef idx="0"/>
    <cs:fillRef idx="0"/>
    <cs:effectRef idx="0"/>
    <cs:fontRef idx="minor">
      <a:schemeClr val="dk1"/>
    </cs:fontRef>
    <cs:spPr bwMode="auto">
      <a:prstGeom prst="rect">
        <a:avLst/>
      </a:prstGeom>
      <a:ln w="9525">
        <a:solidFill>
          <a:schemeClr val="tx1">
            <a:lumMod val="35000"/>
            <a:lumOff val="65000"/>
          </a:schemeClr>
        </a:solidFill>
      </a:ln>
    </cs:spPr>
  </cs:leaderLine>
  <cs:legend>
    <cs:lnRef idx="0"/>
    <cs:fillRef idx="0"/>
    <cs:effectRef idx="0"/>
    <cs:fontRef idx="minor">
      <a:schemeClr val="tx1">
        <a:lumMod val="65000"/>
        <a:lumOff val="35000"/>
      </a:schemeClr>
    </cs:fontRef>
    <cs:defRPr sz="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tx1">
        <a:lumMod val="65000"/>
        <a:lumOff val="35000"/>
      </a:schemeClr>
    </cs:fontRef>
    <cs:defRPr sz="1200"/>
  </cs:seriesAxis>
  <cs:seriesLine>
    <cs:lnRef idx="0"/>
    <cs:fillRef idx="0"/>
    <cs:effectRef idx="0"/>
    <cs:fontRef idx="minor">
      <a:schemeClr val="dk1"/>
    </cs:fontRef>
    <cs:spPr bwMode="auto">
      <a:prstGeom prst="rect">
        <a:avLst/>
      </a:prstGeom>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2200" b="1" cap="all" spc="149"/>
  </cs:title>
  <cs:trendline>
    <cs:lnRef idx="0">
      <cs:styleClr val="auto"/>
    </cs:lnRef>
    <cs:fillRef idx="0"/>
    <cs:effectRef idx="0"/>
    <cs:fontRef idx="minor">
      <a:schemeClr val="dk1"/>
    </cs:fontRef>
    <cs:spPr bwMode="auto">
      <a:prstGeom prst="rect">
        <a:avLst/>
      </a:prstGeom>
      <a:ln w="19050" cap="rnd">
        <a:solidFill>
          <a:schemeClr val="phClr"/>
        </a:solidFill>
      </a:ln>
    </cs:spPr>
  </cs:trendline>
  <cs:trendlineLabel>
    <cs:lnRef idx="0"/>
    <cs:fillRef idx="0"/>
    <cs:effectRef idx="0"/>
    <cs:fontRef idx="minor">
      <a:schemeClr val="tx1">
        <a:lumMod val="65000"/>
        <a:lumOff val="35000"/>
      </a:schemeClr>
    </cs:fontRef>
    <cs:defRPr sz="1200"/>
  </cs:trendlineLabel>
  <cs:upBar>
    <cs:lnRef idx="0"/>
    <cs:fillRef idx="0"/>
    <cs:effectRef idx="0"/>
    <cs:fontRef idx="minor">
      <a:schemeClr val="dk1"/>
    </cs:fontRef>
    <cs:spPr bwMode="auto">
      <a:prstGeom prst="rect">
        <a:avLst/>
      </a:prstGeom>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cs:axisTitle>
  <cs:categoryAxis>
    <cs:lnRef idx="0"/>
    <cs:fillRef idx="0"/>
    <cs:effectRef idx="0"/>
    <cs:fontRef idx="minor">
      <a:schemeClr val="tx1">
        <a:lumMod val="65000"/>
        <a:lumOff val="35000"/>
      </a:schemeClr>
    </cs:fontRef>
    <cs:spPr bwMode="auto">
      <a:prstGeom prst="rect">
        <a:avLst/>
      </a:prstGeom>
      <a:ln w="9525" cap="flat" cmpd="sng" algn="ctr">
        <a:solidFill>
          <a:schemeClr val="tx1">
            <a:lumMod val="15000"/>
            <a:lumOff val="85000"/>
          </a:schemeClr>
        </a:solidFill>
        <a:round/>
      </a:ln>
    </cs:spPr>
    <cs:defRPr sz="900"/>
  </cs:categoryAxis>
  <cs:chartArea>
    <cs:lnRef idx="0"/>
    <cs:fillRef idx="0"/>
    <cs:effectRef idx="0"/>
    <cs:fontRef idx="minor">
      <a:schemeClr val="tx1"/>
    </cs:fontRef>
    <cs:spPr bwMode="auto">
      <a:prstGeom prst="rect">
        <a:avLst/>
      </a:prstGeom>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dk1">
        <a:lumMod val="65000"/>
        <a:lumOff val="35000"/>
      </a:schemeClr>
    </cs:fontRef>
    <cs:spPr bwMode="auto">
      <a:prstGeom prst="rect">
        <a:avLst/>
      </a:prstGeom>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bwMode="auto">
      <a:prstGeom prst="rect">
        <a:avLst/>
      </a:prstGeom>
      <a:ln w="28575" cap="rnd">
        <a:solidFill>
          <a:schemeClr val="phClr"/>
        </a:solidFill>
        <a:round/>
      </a:ln>
    </cs:spPr>
  </cs:dataPointLine>
  <cs:dataPointMarker>
    <cs:lnRef idx="0">
      <cs:styleClr val="auto"/>
    </cs:lnRef>
    <cs:fillRef idx="1">
      <cs:styleClr val="auto"/>
    </cs:fillRef>
    <cs:effectRef idx="0"/>
    <cs:fontRef idx="minor">
      <a:schemeClr val="tx1"/>
    </cs:fontRef>
    <cs:spPr bwMode="auto">
      <a:prstGeom prst="rect">
        <a:avLst/>
      </a:prstGeom>
      <a:ln w="9525">
        <a:solidFill>
          <a:schemeClr val="phClr"/>
        </a:solidFill>
      </a:ln>
    </cs:spPr>
  </cs:dataPointMarker>
  <cs:dataPointMarkerLayout/>
  <cs:dataPointWireframe>
    <cs:lnRef idx="0">
      <cs:styleClr val="auto"/>
    </cs:lnRef>
    <cs:fillRef idx="1"/>
    <cs:effectRef idx="0"/>
    <cs:fontRef idx="minor">
      <a:schemeClr val="tx1"/>
    </cs:fontRef>
    <cs:spPr bwMode="auto">
      <a:prstGeom prst="rect">
        <a:avLst/>
      </a:prstGeom>
      <a:ln w="9525" cap="rnd">
        <a:solidFill>
          <a:schemeClr val="phClr"/>
        </a:solidFill>
        <a:round/>
      </a:ln>
    </cs:spPr>
  </cs:dataPointWireframe>
  <cs:dataTable>
    <cs:lnRef idx="0"/>
    <cs:fillRef idx="0"/>
    <cs:effectRef idx="0"/>
    <cs:fontRef idx="minor">
      <a:schemeClr val="tx1">
        <a:lumMod val="65000"/>
        <a:lumOff val="35000"/>
      </a:schemeClr>
    </cs:fontRef>
    <cs:spPr bwMode="auto">
      <a:prstGeom prst="rect">
        <a:avLst/>
      </a:prstGeom>
      <a:noFill/>
      <a:ln w="9525" cap="flat" cmpd="sng" algn="ctr">
        <a:solidFill>
          <a:schemeClr val="tx1">
            <a:lumMod val="15000"/>
            <a:lumOff val="85000"/>
          </a:schemeClr>
        </a:solidFill>
        <a:round/>
      </a:ln>
    </cs:spPr>
    <cs:defRPr sz="900"/>
  </cs:dataTable>
  <cs:downBar>
    <cs:lnRef idx="0"/>
    <cs:fillRef idx="0"/>
    <cs:effectRef idx="0"/>
    <cs:fontRef idx="minor">
      <a:schemeClr val="dk1"/>
    </cs:fontRef>
    <cs:spPr bwMode="auto">
      <a:prstGeom prst="rect">
        <a:avLst/>
      </a:prstGeom>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dropLine>
  <cs:errorBar>
    <cs:lnRef idx="0"/>
    <cs:fillRef idx="0"/>
    <cs:effectRef idx="0"/>
    <cs:fontRef idx="minor">
      <a:schemeClr val="tx1"/>
    </cs:fontRef>
    <cs:spPr bwMode="auto">
      <a:prstGeom prst="rect">
        <a:avLst/>
      </a:prstGeom>
      <a:ln w="9525" cap="flat" cmpd="sng" algn="ctr">
        <a:solidFill>
          <a:schemeClr val="tx1">
            <a:lumMod val="65000"/>
            <a:lumOff val="35000"/>
          </a:schemeClr>
        </a:solidFill>
        <a:round/>
      </a:ln>
    </cs:spPr>
  </cs:errorBar>
  <cs:floor>
    <cs:lnRef idx="0"/>
    <cs:fillRef idx="0"/>
    <cs:effectRef idx="0"/>
    <cs:fontRef idx="minor">
      <a:schemeClr val="tx1"/>
    </cs:fontRef>
    <cs:spPr bwMode="auto">
      <a:prstGeom prst="rect">
        <a:avLst/>
      </a:prstGeom>
      <a:noFill/>
      <a:ln>
        <a:noFill/>
      </a:ln>
    </cs:spPr>
  </cs:floor>
  <cs:gridlineMajor>
    <cs:lnRef idx="0"/>
    <cs:fillRef idx="0"/>
    <cs:effectRef idx="0"/>
    <cs:fontRef idx="minor">
      <a:schemeClr val="tx1"/>
    </cs:fontRef>
    <cs:spPr bwMode="auto">
      <a:prstGeom prst="rect">
        <a:avLst/>
      </a:prstGeom>
      <a:ln w="9525" cap="flat" cmpd="sng" algn="ctr">
        <a:solidFill>
          <a:schemeClr val="tx1">
            <a:lumMod val="15000"/>
            <a:lumOff val="85000"/>
          </a:schemeClr>
        </a:solidFill>
        <a:round/>
      </a:ln>
    </cs:spPr>
  </cs:gridlineMajor>
  <cs:gridlineMinor>
    <cs:lnRef idx="0"/>
    <cs:fillRef idx="0"/>
    <cs:effectRef idx="0"/>
    <cs:fontRef idx="minor">
      <a:schemeClr val="tx1"/>
    </cs:fontRef>
    <cs:spPr bwMode="auto">
      <a:prstGeom prst="rect">
        <a:avLst/>
      </a:prstGeom>
      <a:ln w="9525" cap="flat" cmpd="sng" algn="ctr">
        <a:solidFill>
          <a:schemeClr val="tx1">
            <a:lumMod val="5000"/>
            <a:lumOff val="95000"/>
          </a:schemeClr>
        </a:solidFill>
        <a:round/>
      </a:ln>
    </cs:spPr>
  </cs:gridlineMinor>
  <cs:hiLoLine>
    <cs:lnRef idx="0"/>
    <cs:fillRef idx="0"/>
    <cs:effectRef idx="0"/>
    <cs:fontRef idx="minor">
      <a:schemeClr val="tx1"/>
    </cs:fontRef>
    <cs:spPr bwMode="auto">
      <a:prstGeom prst="rect">
        <a:avLst/>
      </a:prstGeom>
      <a:ln w="9525" cap="flat" cmpd="sng" algn="ctr">
        <a:solidFill>
          <a:schemeClr val="tx1">
            <a:lumMod val="75000"/>
            <a:lumOff val="25000"/>
          </a:schemeClr>
        </a:solidFill>
        <a:round/>
      </a:ln>
    </cs:spPr>
  </cs:hiLoLine>
  <cs:leader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tx1">
        <a:lumMod val="65000"/>
        <a:lumOff val="35000"/>
      </a:schemeClr>
    </cs:fontRef>
    <cs:defRPr sz="900"/>
  </cs:seriesAxis>
  <cs:seriesLine>
    <cs:lnRef idx="0"/>
    <cs:fillRef idx="0"/>
    <cs:effectRef idx="0"/>
    <cs:fontRef idx="minor">
      <a:schemeClr val="tx1"/>
    </cs:fontRef>
    <cs:spPr bwMode="auto">
      <a:prstGeom prst="rect">
        <a:avLst/>
      </a:prstGeom>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spc="0"/>
  </cs:title>
  <cs:trendline>
    <cs:lnRef idx="0">
      <cs:styleClr val="auto"/>
    </cs:lnRef>
    <cs:fillRef idx="0"/>
    <cs:effectRef idx="0"/>
    <cs:fontRef idx="minor">
      <a:schemeClr val="tx1"/>
    </cs:fontRef>
    <cs:spPr bwMode="auto">
      <a:prstGeom prst="rect">
        <a:avLst/>
      </a:prstGeom>
      <a:ln w="19050" cap="rnd">
        <a:solidFill>
          <a:schemeClr val="phClr"/>
        </a:solidFill>
        <a:prstDash val="sysDot"/>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bwMode="auto">
      <a:prstGeom prst="rect">
        <a:avLst/>
      </a:prstGeom>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spPr bwMode="auto">
      <a:prstGeom prst="rect">
        <a:avLst/>
      </a:prstGeom>
      <a:noFill/>
      <a:ln>
        <a:noFill/>
      </a:ln>
    </cs:spPr>
  </cs:wall>
</cs:chartStyle>
</file>

<file path=word/charts/style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0.42242</cdr:x>
      <cdr:y>0.23051</cdr:y>
    </cdr:from>
    <cdr:to>
      <cdr:x>0.56529</cdr:x>
      <cdr:y>0.28628</cdr:y>
    </cdr:to>
    <cdr:sp macro="" textlink="">
      <cdr:nvSpPr>
        <cdr:cNvPr id="3" name="Поле 2"/>
        <cdr:cNvSpPr txBox="1"/>
      </cdr:nvSpPr>
      <cdr:spPr>
        <a:xfrm xmlns:a="http://schemas.openxmlformats.org/drawingml/2006/main">
          <a:off x="2509112" y="907084"/>
          <a:ext cx="848564" cy="2194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ru-RU" sz="1100" b="1"/>
            <a:t>Значимая</a:t>
          </a:r>
        </a:p>
        <a:p xmlns:a="http://schemas.openxmlformats.org/drawingml/2006/main">
          <a:endParaRPr lang="ru-RU" sz="1100"/>
        </a:p>
      </cdr:txBody>
    </cdr:sp>
  </cdr:relSizeAnchor>
  <cdr:relSizeAnchor xmlns:cdr="http://schemas.openxmlformats.org/drawingml/2006/chartDrawing">
    <cdr:from>
      <cdr:x>0.41011</cdr:x>
      <cdr:y>0.39224</cdr:y>
    </cdr:from>
    <cdr:to>
      <cdr:x>0.56036</cdr:x>
      <cdr:y>0.47032</cdr:y>
    </cdr:to>
    <cdr:sp macro="" textlink="">
      <cdr:nvSpPr>
        <cdr:cNvPr id="4" name="Поле 3"/>
        <cdr:cNvSpPr txBox="1"/>
      </cdr:nvSpPr>
      <cdr:spPr>
        <a:xfrm xmlns:a="http://schemas.openxmlformats.org/drawingml/2006/main">
          <a:off x="2435961" y="1543508"/>
          <a:ext cx="892454" cy="3072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marL="0" marR="0" indent="0" defTabSz="914400" eaLnBrk="1" fontAlgn="auto" latinLnBrk="0" hangingPunct="1">
            <a:lnSpc>
              <a:spcPct val="100000"/>
            </a:lnSpc>
            <a:spcBef>
              <a:spcPts val="0"/>
            </a:spcBef>
            <a:spcAft>
              <a:spcPts val="0"/>
            </a:spcAft>
            <a:buClrTx/>
            <a:buSzTx/>
            <a:buFontTx/>
            <a:buNone/>
            <a:tabLst/>
            <a:defRPr/>
          </a:pPr>
          <a:r>
            <a:rPr lang="ru-RU" sz="1100" b="1"/>
            <a:t>Умеренная</a:t>
          </a:r>
        </a:p>
        <a:p xmlns:a="http://schemas.openxmlformats.org/drawingml/2006/main">
          <a:endParaRPr lang="ru-RU" sz="1100"/>
        </a:p>
      </cdr:txBody>
    </cdr:sp>
  </cdr:relSizeAnchor>
</c:userShapes>
</file>

<file path=word/drawings/drawing2.xml><?xml version="1.0" encoding="utf-8"?>
<c:userShapes xmlns:c="http://schemas.openxmlformats.org/drawingml/2006/chart">
  <cdr:relSizeAnchor xmlns:cdr="http://schemas.openxmlformats.org/drawingml/2006/chartDrawing">
    <cdr:from>
      <cdr:x>0.25878</cdr:x>
      <cdr:y>0.58013</cdr:y>
    </cdr:from>
    <cdr:to>
      <cdr:x>0.31995</cdr:x>
      <cdr:y>0.66015</cdr:y>
    </cdr:to>
    <cdr:sp macro="" textlink="">
      <cdr:nvSpPr>
        <cdr:cNvPr id="5" name="Поле 1"/>
        <cdr:cNvSpPr txBox="1"/>
      </cdr:nvSpPr>
      <cdr:spPr>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0.24605</cdr:x>
      <cdr:y>0.76546</cdr:y>
    </cdr:from>
    <cdr:to>
      <cdr:x>0.32397</cdr:x>
      <cdr:y>0.84523</cdr:y>
    </cdr:to>
    <cdr:sp macro="" textlink="">
      <cdr:nvSpPr>
        <cdr:cNvPr id="8" name="Поле 1"/>
        <cdr:cNvSpPr txBox="1"/>
      </cdr:nvSpPr>
      <cdr:spPr>
        <a:xfrm xmlns:a="http://schemas.openxmlformats.org/drawingml/2006/main">
          <a:off x="1429468"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0.21705</cdr:x>
      <cdr:y>0.19978</cdr:y>
    </cdr:from>
    <cdr:to>
      <cdr:x>0.34518</cdr:x>
      <cdr:y>0.2798</cdr:y>
    </cdr:to>
    <cdr:sp macro="" textlink="">
      <cdr:nvSpPr>
        <cdr:cNvPr id="12" name="Поле 1"/>
        <cdr:cNvSpPr txBox="1"/>
      </cdr:nvSpPr>
      <cdr:spPr>
        <a:xfrm xmlns:a="http://schemas.openxmlformats.org/drawingml/2006/main">
          <a:off x="1172088" y="475594"/>
          <a:ext cx="691907" cy="190497"/>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anose="02020603050405020304" pitchFamily="18" charset="0"/>
              <a:cs typeface="Times New Roman" panose="02020603050405020304" pitchFamily="18" charset="0"/>
            </a:rPr>
            <a:t>3 </a:t>
          </a:r>
          <a:r>
            <a:rPr lang="en-US" b="1">
              <a:latin typeface="Times New Roman" panose="02020603050405020304" pitchFamily="18" charset="0"/>
              <a:cs typeface="Times New Roman" panose="02020603050405020304" pitchFamily="18" charset="0"/>
            </a:rPr>
            <a:t>778</a:t>
          </a:r>
        </a:p>
        <a:p xmlns:a="http://schemas.openxmlformats.org/drawingml/2006/main">
          <a:endParaRPr lang="ru-RU"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0.67753</cdr:x>
      <cdr:y>0.13433</cdr:y>
    </cdr:from>
    <cdr:to>
      <cdr:x>0.80541</cdr:x>
      <cdr:y>0.2141</cdr:y>
    </cdr:to>
    <cdr:sp macro="" textlink="">
      <cdr:nvSpPr>
        <cdr:cNvPr id="13" name="Поле 1"/>
        <cdr:cNvSpPr txBox="1"/>
      </cdr:nvSpPr>
      <cdr:spPr>
        <a:xfrm xmlns:a="http://schemas.openxmlformats.org/drawingml/2006/main">
          <a:off x="3658665" y="319784"/>
          <a:ext cx="690557"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b="1">
              <a:latin typeface="Times New Roman" panose="02020603050405020304" pitchFamily="18" charset="0"/>
              <a:cs typeface="Times New Roman" panose="02020603050405020304" pitchFamily="18" charset="0"/>
            </a:rPr>
            <a:t>4</a:t>
          </a:r>
          <a:r>
            <a:rPr lang="en-US" b="1" baseline="0">
              <a:latin typeface="Times New Roman" panose="02020603050405020304" pitchFamily="18" charset="0"/>
              <a:cs typeface="Times New Roman" panose="02020603050405020304" pitchFamily="18" charset="0"/>
            </a:rPr>
            <a:t> 92</a:t>
          </a:r>
          <a:r>
            <a:rPr lang="ru-RU" b="1" baseline="0">
              <a:latin typeface="Times New Roman" panose="02020603050405020304" pitchFamily="18" charset="0"/>
              <a:cs typeface="Times New Roman" panose="02020603050405020304" pitchFamily="18" charset="0"/>
            </a:rPr>
            <a:t>4</a:t>
          </a:r>
          <a:endParaRPr lang="en-US" b="1" baseline="0">
            <a:latin typeface="Times New Roman" panose="02020603050405020304" pitchFamily="18" charset="0"/>
            <a:cs typeface="Times New Roman" panose="02020603050405020304" pitchFamily="18" charset="0"/>
          </a:endParaRPr>
        </a:p>
        <a:p xmlns:a="http://schemas.openxmlformats.org/drawingml/2006/main">
          <a:endParaRPr lang="ru-RU"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0.44004</cdr:x>
      <cdr:y>0.13664</cdr:y>
    </cdr:from>
    <cdr:to>
      <cdr:x>0.56793</cdr:x>
      <cdr:y>0.21641</cdr:y>
    </cdr:to>
    <cdr:sp macro="" textlink="">
      <cdr:nvSpPr>
        <cdr:cNvPr id="14" name="Поле 1"/>
        <cdr:cNvSpPr txBox="1"/>
      </cdr:nvSpPr>
      <cdr:spPr>
        <a:xfrm xmlns:a="http://schemas.openxmlformats.org/drawingml/2006/main">
          <a:off x="2376228" y="325288"/>
          <a:ext cx="690611" cy="189902"/>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ru-RU" b="1">
              <a:latin typeface="Times New Roman" panose="02020603050405020304" pitchFamily="18" charset="0"/>
              <a:cs typeface="Times New Roman" panose="02020603050405020304" pitchFamily="18" charset="0"/>
            </a:rPr>
            <a:t>3 </a:t>
          </a:r>
          <a:r>
            <a:rPr lang="en-US" b="1">
              <a:latin typeface="Times New Roman" panose="02020603050405020304" pitchFamily="18" charset="0"/>
              <a:cs typeface="Times New Roman" panose="02020603050405020304" pitchFamily="18" charset="0"/>
            </a:rPr>
            <a:t>682</a:t>
          </a:r>
        </a:p>
        <a:p xmlns:a="http://schemas.openxmlformats.org/drawingml/2006/main">
          <a:endParaRPr lang="ru-RU" b="1">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0.38257</cdr:x>
      <cdr:y>0.51825</cdr:y>
    </cdr:from>
    <cdr:to>
      <cdr:x>0.44324</cdr:x>
      <cdr:y>0.59827</cdr:y>
    </cdr:to>
    <cdr:sp macro="" textlink="">
      <cdr:nvSpPr>
        <cdr:cNvPr id="15" name="Поле 1"/>
        <cdr:cNvSpPr txBox="1"/>
      </cdr:nvSpPr>
      <cdr:spPr>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0.38087</cdr:x>
      <cdr:y>0.59924</cdr:y>
    </cdr:from>
    <cdr:to>
      <cdr:x>0.45879</cdr:x>
      <cdr:y>0.67925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0.37708</cdr:x>
      <cdr:y>0.69836</cdr:y>
    </cdr:from>
    <cdr:to>
      <cdr:x>0.45501</cdr:x>
      <cdr:y>0.77813</cdr:y>
    </cdr:to>
    <cdr:sp macro="" textlink="">
      <cdr:nvSpPr>
        <cdr:cNvPr id="17" name="Поле 1"/>
        <cdr:cNvSpPr txBox="1"/>
      </cdr:nvSpPr>
      <cdr:spPr>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0.3774</cdr:x>
      <cdr:y>0.41554</cdr:y>
    </cdr:from>
    <cdr:to>
      <cdr:x>0.45532</cdr:x>
      <cdr:y>0.49531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userShapes>
</file>

<file path=word/drawings/drawing3.xml><?xml version="1.0" encoding="utf-8"?>
<c:userShapes xmlns:c="http://schemas.openxmlformats.org/drawingml/2006/chart">
  <cdr:relSizeAnchor xmlns:cdr="http://schemas.openxmlformats.org/drawingml/2006/chartDrawing">
    <cdr:from>
      <cdr:x>0.31378</cdr:x>
      <cdr:y>0.55838</cdr:y>
    </cdr:from>
    <cdr:to>
      <cdr:x>0.3687</cdr:x>
      <cdr:y>0.62615</cdr:y>
    </cdr:to>
    <cdr:sp macro="" textlink="">
      <cdr:nvSpPr>
        <cdr:cNvPr id="5" name="Поле 1"/>
        <cdr:cNvSpPr txBox="1"/>
      </cdr:nvSpPr>
      <cdr:spPr>
        <a:xfrm xmlns:a="http://schemas.openxmlformats.org/drawingml/2006/main">
          <a:off x="1497938" y="1839842"/>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0.64763</cdr:x>
      <cdr:y>0.232</cdr:y>
    </cdr:from>
    <cdr:to>
      <cdr:x>0.79119</cdr:x>
      <cdr:y>0.30854</cdr:y>
    </cdr:to>
    <cdr:sp macro="" textlink="">
      <cdr:nvSpPr>
        <cdr:cNvPr id="6" name="Поле 1"/>
        <cdr:cNvSpPr txBox="1"/>
      </cdr:nvSpPr>
      <cdr:spPr>
        <a:xfrm xmlns:a="http://schemas.openxmlformats.org/drawingml/2006/main">
          <a:off x="3440041" y="351356"/>
          <a:ext cx="762559" cy="115918"/>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ru-RU" sz="900" b="0" i="0" u="none" strike="noStrike" baseline="0">
              <a:solidFill>
                <a:srgbClr val="800080"/>
              </a:solidFill>
              <a:latin typeface="Times New Roman"/>
              <a:cs typeface="Times New Roman"/>
            </a:rPr>
            <a:t>- 34%</a:t>
          </a:r>
        </a:p>
      </cdr:txBody>
    </cdr:sp>
  </cdr:relSizeAnchor>
  <cdr:relSizeAnchor xmlns:cdr="http://schemas.openxmlformats.org/drawingml/2006/chartDrawing">
    <cdr:from>
      <cdr:x>0.3023</cdr:x>
      <cdr:y>0.71571</cdr:y>
    </cdr:from>
    <cdr:to>
      <cdr:x>0.37222</cdr:x>
      <cdr:y>0.78373</cdr:y>
    </cdr:to>
    <cdr:sp macro="" textlink="">
      <cdr:nvSpPr>
        <cdr:cNvPr id="8" name="Поле 1"/>
        <cdr:cNvSpPr txBox="1"/>
      </cdr:nvSpPr>
      <cdr:spPr>
        <a:xfrm xmlns:a="http://schemas.openxmlformats.org/drawingml/2006/main">
          <a:off x="1429468" y="2410569"/>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0.42482</cdr:x>
      <cdr:y>0.50575</cdr:y>
    </cdr:from>
    <cdr:to>
      <cdr:x>0.47949</cdr:x>
      <cdr:y>0.57352</cdr:y>
    </cdr:to>
    <cdr:sp macro="" textlink="">
      <cdr:nvSpPr>
        <cdr:cNvPr id="15" name="Поле 1"/>
        <cdr:cNvSpPr txBox="1"/>
      </cdr:nvSpPr>
      <cdr:spPr>
        <a:xfrm xmlns:a="http://schemas.openxmlformats.org/drawingml/2006/main">
          <a:off x="2157895" y="1649011"/>
          <a:ext cx="326003"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0.42337</cdr:x>
      <cdr:y>0.57449</cdr:y>
    </cdr:from>
    <cdr:to>
      <cdr:x>0.49354</cdr:x>
      <cdr:y>0.6425</cdr:y>
    </cdr:to>
    <cdr:sp macro="" textlink="">
      <cdr:nvSpPr>
        <cdr:cNvPr id="16" name="Поле 1"/>
        <cdr:cNvSpPr txBox="1"/>
      </cdr:nvSpPr>
      <cdr:spPr>
        <a:xfrm xmlns:a="http://schemas.openxmlformats.org/drawingml/2006/main">
          <a:off x="2149944" y="1898593"/>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0.41983</cdr:x>
      <cdr:y>0.65861</cdr:y>
    </cdr:from>
    <cdr:to>
      <cdr:x>0.49001</cdr:x>
      <cdr:y>0.72663</cdr:y>
    </cdr:to>
    <cdr:sp macro="" textlink="">
      <cdr:nvSpPr>
        <cdr:cNvPr id="17" name="Поле 1"/>
        <cdr:cNvSpPr txBox="1"/>
      </cdr:nvSpPr>
      <cdr:spPr>
        <a:xfrm xmlns:a="http://schemas.openxmlformats.org/drawingml/2006/main">
          <a:off x="2129182" y="2203835"/>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0.42065</cdr:x>
      <cdr:y>0.41829</cdr:y>
    </cdr:from>
    <cdr:to>
      <cdr:x>0.49057</cdr:x>
      <cdr:y>0.48631</cdr:y>
    </cdr:to>
    <cdr:sp macro="" textlink="">
      <cdr:nvSpPr>
        <cdr:cNvPr id="18" name="Поле 1"/>
        <cdr:cNvSpPr txBox="1"/>
      </cdr:nvSpPr>
      <cdr:spPr>
        <a:xfrm xmlns:a="http://schemas.openxmlformats.org/drawingml/2006/main">
          <a:off x="2132274" y="1332284"/>
          <a:ext cx="416559" cy="246491"/>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ru-RU"/>
        </a:p>
      </cdr:txBody>
    </cdr:sp>
  </cdr:relSizeAnchor>
  <cdr:relSizeAnchor xmlns:cdr="http://schemas.openxmlformats.org/drawingml/2006/chartDrawing">
    <cdr:from>
      <cdr:x>0.2551</cdr:x>
      <cdr:y>0.51318</cdr:y>
    </cdr:from>
    <cdr:to>
      <cdr:x>0.37423</cdr:x>
      <cdr:y>0.58277</cdr:y>
    </cdr:to>
    <cdr:sp macro="" textlink="">
      <cdr:nvSpPr>
        <cdr:cNvPr id="19" name="Поле 1"/>
        <cdr:cNvSpPr txBox="1"/>
      </cdr:nvSpPr>
      <cdr:spPr>
        <a:xfrm xmlns:a="http://schemas.openxmlformats.org/drawingml/2006/main">
          <a:off x="1355047" y="777201"/>
          <a:ext cx="632779" cy="1053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pPr algn="l" rtl="0">
            <a:defRPr sz="1000"/>
          </a:pPr>
          <a:r>
            <a:rPr lang="ru-RU" sz="900" b="0" i="0" u="none" strike="noStrike" baseline="0">
              <a:solidFill>
                <a:srgbClr val="800080"/>
              </a:solidFill>
              <a:latin typeface="Times New Roman"/>
              <a:cs typeface="Times New Roman"/>
            </a:rPr>
            <a:t>-93 %</a:t>
          </a:r>
        </a:p>
      </cdr:txBody>
    </cdr:sp>
  </cdr:relSizeAnchor>
  <cdr:relSizeAnchor xmlns:cdr="http://schemas.openxmlformats.org/drawingml/2006/chartDrawing">
    <cdr:from>
      <cdr:x>0.55689</cdr:x>
      <cdr:y>0.0287</cdr:y>
    </cdr:from>
    <cdr:to>
      <cdr:x>0.70045</cdr:x>
      <cdr:y>0.10524</cdr:y>
    </cdr:to>
    <cdr:sp macro="" textlink="">
      <cdr:nvSpPr>
        <cdr:cNvPr id="10" name="Поле 1"/>
        <cdr:cNvSpPr txBox="1"/>
      </cdr:nvSpPr>
      <cdr:spPr>
        <a:xfrm xmlns:a="http://schemas.openxmlformats.org/drawingml/2006/main">
          <a:off x="2958076" y="43465"/>
          <a:ext cx="762559" cy="11591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l" rtl="0">
            <a:defRPr sz="1000"/>
          </a:pPr>
          <a:r>
            <a:rPr lang="ru-RU" sz="900" b="0" i="0" u="none" strike="noStrike" baseline="0">
              <a:solidFill>
                <a:srgbClr val="800080"/>
              </a:solidFill>
              <a:latin typeface="Times New Roman"/>
              <a:cs typeface="Times New Roman"/>
            </a:rPr>
            <a:t>315 %</a:t>
          </a:r>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cdr:y>
    </cdr:from>
    <cdr:to>
      <cdr:x>0.18421</cdr:x>
      <cdr:y>0.07895</cdr:y>
    </cdr:to>
    <cdr:sp macro="" textlink="">
      <cdr:nvSpPr>
        <cdr:cNvPr id="1655532099" name="TextBox 1"/>
        <cdr:cNvSpPr txBox="1"/>
      </cdr:nvSpPr>
      <cdr:spPr bwMode="auto">
        <a:xfrm xmlns:a="http://schemas.openxmlformats.org/drawingml/2006/main">
          <a:off x="-207886" y="-1340766"/>
          <a:ext cx="860212" cy="20152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defRPr/>
          </a:pPr>
          <a:r>
            <a:rPr lang="ru-RU" sz="1100" b="1">
              <a:latin typeface="PF Din Text Cond Pro Medium"/>
              <a:cs typeface="Times New Roman"/>
            </a:rPr>
            <a:t>МВт</a:t>
          </a:r>
        </a:p>
      </cdr:txBody>
    </cdr:sp>
  </cdr:relSizeAnchor>
</c:userShapes>
</file>

<file path=word/drawings/drawing5.xml><?xml version="1.0" encoding="utf-8"?>
<c:userShapes xmlns:c="http://schemas.openxmlformats.org/drawingml/2006/chart">
  <cdr:relSizeAnchor xmlns:cdr="http://schemas.openxmlformats.org/drawingml/2006/chartDrawing">
    <cdr:from>
      <cdr:x>0.00083</cdr:x>
      <cdr:y>0</cdr:y>
    </cdr:from>
    <cdr:to>
      <cdr:x>0.18504</cdr:x>
      <cdr:y>0.07895</cdr:y>
    </cdr:to>
    <cdr:sp macro="" textlink="">
      <cdr:nvSpPr>
        <cdr:cNvPr id="933933773" name="TextBox 1"/>
        <cdr:cNvSpPr txBox="1"/>
      </cdr:nvSpPr>
      <cdr:spPr bwMode="auto">
        <a:xfrm xmlns:a="http://schemas.openxmlformats.org/drawingml/2006/main">
          <a:off x="3882" y="-1150790"/>
          <a:ext cx="860212" cy="21652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defRPr/>
          </a:pPr>
          <a:r>
            <a:rPr lang="ru-RU" sz="1200" b="1">
              <a:latin typeface="PF Din Text Cond Pro Medium"/>
              <a:cs typeface="Times New Roman"/>
            </a:rPr>
            <a:t>Шт.</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C93B56-DA85-40ED-87EB-CAE2F0B854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81</Pages>
  <Words>29641</Words>
  <Characters>168955</Characters>
  <Application>Microsoft Office Word</Application>
  <DocSecurity>0</DocSecurity>
  <Lines>1407</Lines>
  <Paragraphs>396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198200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Ежек Антон Юрьевич</dc:creator>
  <cp:keywords/>
  <dc:description/>
  <cp:lastModifiedBy>Канцурова Наталья Сергеевна</cp:lastModifiedBy>
  <cp:revision>3</cp:revision>
  <cp:lastPrinted>2024-04-26T06:40:00Z</cp:lastPrinted>
  <dcterms:created xsi:type="dcterms:W3CDTF">2024-04-15T12:53:00Z</dcterms:created>
  <dcterms:modified xsi:type="dcterms:W3CDTF">2024-04-26T06:41:00Z</dcterms:modified>
</cp:coreProperties>
</file>